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7709" w:rsidRPr="008E7709" w:rsidRDefault="008E7709" w:rsidP="008E7709">
      <w:pPr>
        <w:spacing w:after="180" w:line="240" w:lineRule="auto"/>
        <w:textAlignment w:val="baseline"/>
        <w:outlineLvl w:val="0"/>
        <w:rPr>
          <w:rFonts w:ascii="Open Sans" w:eastAsia="Times New Roman" w:hAnsi="Open Sans" w:cs="Times New Roman"/>
          <w:color w:val="27272A"/>
          <w:kern w:val="36"/>
          <w:sz w:val="48"/>
          <w:szCs w:val="48"/>
          <w:lang w:eastAsia="es-AR"/>
        </w:rPr>
      </w:pPr>
      <w:r w:rsidRPr="008E7709">
        <w:rPr>
          <w:rFonts w:ascii="Open Sans" w:eastAsia="Times New Roman" w:hAnsi="Open Sans" w:cs="Times New Roman"/>
          <w:color w:val="27272A"/>
          <w:kern w:val="36"/>
          <w:sz w:val="48"/>
          <w:szCs w:val="48"/>
          <w:lang w:eastAsia="es-AR"/>
        </w:rPr>
        <w:t>VACUNACIÓN EN ADULTOS CONTRA INFECCIONES RESPIRATORIAS VIRALES</w:t>
      </w:r>
    </w:p>
    <w:p w:rsidR="008E7709" w:rsidRPr="008E7709" w:rsidRDefault="00AB0BA5" w:rsidP="008E7709">
      <w:pPr>
        <w:shd w:val="clear" w:color="auto" w:fill="FFFFFF"/>
        <w:spacing w:line="240" w:lineRule="auto"/>
        <w:textAlignment w:val="baseline"/>
        <w:rPr>
          <w:rFonts w:ascii="Open Sans" w:eastAsia="Times New Roman" w:hAnsi="Open Sans" w:cs="Times New Roman"/>
          <w:color w:val="444444"/>
          <w:sz w:val="24"/>
          <w:szCs w:val="24"/>
          <w:lang w:eastAsia="es-AR"/>
        </w:rPr>
      </w:pPr>
      <w:hyperlink r:id="rId5" w:tooltip="Sociedad Infectología Córdoba" w:history="1">
        <w:r w:rsidRPr="008E7709">
          <w:rPr>
            <w:rFonts w:ascii="inherit" w:eastAsia="Times New Roman" w:hAnsi="inherit" w:cs="Times New Roman"/>
            <w:color w:val="71717A"/>
            <w:sz w:val="24"/>
            <w:szCs w:val="24"/>
            <w:bdr w:val="none" w:sz="0" w:space="0" w:color="auto" w:frame="1"/>
            <w:lang w:eastAsia="es-AR"/>
          </w:rPr>
          <w:t>Sociedad</w:t>
        </w:r>
        <w:r>
          <w:rPr>
            <w:rFonts w:ascii="inherit" w:eastAsia="Times New Roman" w:hAnsi="inherit" w:cs="Times New Roman"/>
            <w:color w:val="71717A"/>
            <w:sz w:val="24"/>
            <w:szCs w:val="24"/>
            <w:bdr w:val="none" w:sz="0" w:space="0" w:color="auto" w:frame="1"/>
            <w:lang w:eastAsia="es-AR"/>
          </w:rPr>
          <w:t xml:space="preserve"> de</w:t>
        </w:r>
        <w:r w:rsidRPr="008E7709">
          <w:rPr>
            <w:rFonts w:ascii="inherit" w:eastAsia="Times New Roman" w:hAnsi="inherit" w:cs="Times New Roman"/>
            <w:color w:val="71717A"/>
            <w:sz w:val="24"/>
            <w:szCs w:val="24"/>
            <w:bdr w:val="none" w:sz="0" w:space="0" w:color="auto" w:frame="1"/>
            <w:lang w:eastAsia="es-AR"/>
          </w:rPr>
          <w:t xml:space="preserve"> </w:t>
        </w:r>
        <w:proofErr w:type="spellStart"/>
        <w:r w:rsidRPr="008E7709">
          <w:rPr>
            <w:rFonts w:ascii="inherit" w:eastAsia="Times New Roman" w:hAnsi="inherit" w:cs="Times New Roman"/>
            <w:color w:val="71717A"/>
            <w:sz w:val="24"/>
            <w:szCs w:val="24"/>
            <w:bdr w:val="none" w:sz="0" w:space="0" w:color="auto" w:frame="1"/>
            <w:lang w:eastAsia="es-AR"/>
          </w:rPr>
          <w:t>Infectología</w:t>
        </w:r>
        <w:proofErr w:type="spellEnd"/>
        <w:r>
          <w:rPr>
            <w:rFonts w:ascii="inherit" w:eastAsia="Times New Roman" w:hAnsi="inherit" w:cs="Times New Roman"/>
            <w:color w:val="71717A"/>
            <w:sz w:val="24"/>
            <w:szCs w:val="24"/>
            <w:bdr w:val="none" w:sz="0" w:space="0" w:color="auto" w:frame="1"/>
            <w:lang w:eastAsia="es-AR"/>
          </w:rPr>
          <w:t xml:space="preserve"> de</w:t>
        </w:r>
        <w:r w:rsidRPr="008E7709">
          <w:rPr>
            <w:rFonts w:ascii="inherit" w:eastAsia="Times New Roman" w:hAnsi="inherit" w:cs="Times New Roman"/>
            <w:color w:val="71717A"/>
            <w:sz w:val="24"/>
            <w:szCs w:val="24"/>
            <w:bdr w:val="none" w:sz="0" w:space="0" w:color="auto" w:frame="1"/>
            <w:lang w:eastAsia="es-AR"/>
          </w:rPr>
          <w:t xml:space="preserve"> Córdoba</w:t>
        </w:r>
      </w:hyperlink>
      <w:r>
        <w:rPr>
          <w:rFonts w:ascii="inherit" w:eastAsia="Times New Roman" w:hAnsi="inherit" w:cs="Times New Roman"/>
          <w:color w:val="444444"/>
          <w:sz w:val="24"/>
          <w:szCs w:val="24"/>
          <w:bdr w:val="none" w:sz="0" w:space="0" w:color="auto" w:frame="1"/>
          <w:lang w:eastAsia="es-AR"/>
        </w:rPr>
        <w:t xml:space="preserve"> -</w:t>
      </w:r>
      <w:hyperlink r:id="rId6" w:tooltip="3:46 pm" w:history="1">
        <w:r w:rsidR="008E7709" w:rsidRPr="008E7709">
          <w:rPr>
            <w:rFonts w:ascii="inherit" w:eastAsia="Times New Roman" w:hAnsi="inherit" w:cs="Times New Roman"/>
            <w:color w:val="71717A"/>
            <w:sz w:val="24"/>
            <w:szCs w:val="24"/>
            <w:bdr w:val="none" w:sz="0" w:space="0" w:color="auto" w:frame="1"/>
            <w:lang w:eastAsia="es-AR"/>
          </w:rPr>
          <w:t>julio 13, 2026</w:t>
        </w:r>
      </w:hyperlink>
      <w:r>
        <w:rPr>
          <w:rFonts w:ascii="inherit" w:eastAsia="Times New Roman" w:hAnsi="inherit" w:cs="Times New Roman"/>
          <w:color w:val="444444"/>
          <w:sz w:val="24"/>
          <w:szCs w:val="24"/>
          <w:bdr w:val="none" w:sz="0" w:space="0" w:color="auto" w:frame="1"/>
          <w:lang w:eastAsia="es-AR"/>
        </w:rPr>
        <w:t xml:space="preserve">- </w:t>
      </w:r>
    </w:p>
    <w:p w:rsidR="008E7709" w:rsidRDefault="008E7709" w:rsidP="008E7709">
      <w:pPr>
        <w:shd w:val="clear" w:color="auto" w:fill="FFFFFF"/>
        <w:spacing w:after="0" w:line="240" w:lineRule="auto"/>
        <w:textAlignment w:val="baseline"/>
        <w:rPr>
          <w:rFonts w:ascii="inherit" w:eastAsia="Times New Roman" w:hAnsi="inherit" w:cs="Times New Roman"/>
          <w:b/>
          <w:bCs/>
          <w:color w:val="444444"/>
          <w:sz w:val="21"/>
          <w:szCs w:val="21"/>
          <w:bdr w:val="none" w:sz="0" w:space="0" w:color="auto" w:frame="1"/>
          <w:lang w:eastAsia="es-AR"/>
        </w:rPr>
      </w:pPr>
    </w:p>
    <w:p w:rsidR="00731FDA" w:rsidRDefault="008E7709" w:rsidP="00731FDA">
      <w:pPr>
        <w:shd w:val="clear" w:color="auto" w:fill="FFFFFF"/>
        <w:spacing w:after="0" w:line="240" w:lineRule="auto"/>
        <w:textAlignment w:val="baseline"/>
        <w:rPr>
          <w:rFonts w:ascii="Open Sans" w:eastAsia="Times New Roman" w:hAnsi="Open Sans" w:cs="Times New Roman"/>
          <w:color w:val="444444"/>
          <w:sz w:val="24"/>
          <w:szCs w:val="24"/>
          <w:lang w:eastAsia="es-AR"/>
        </w:rPr>
      </w:pPr>
      <w:r w:rsidRPr="008E7709">
        <w:rPr>
          <w:rFonts w:ascii="inherit" w:eastAsia="Times New Roman" w:hAnsi="inherit" w:cs="Times New Roman"/>
          <w:b/>
          <w:bCs/>
          <w:color w:val="444444"/>
          <w:sz w:val="21"/>
          <w:szCs w:val="21"/>
          <w:bdr w:val="none" w:sz="0" w:space="0" w:color="auto" w:frame="1"/>
          <w:lang w:eastAsia="es-AR"/>
        </w:rPr>
        <w:t xml:space="preserve">Sociedad de </w:t>
      </w:r>
      <w:proofErr w:type="spellStart"/>
      <w:r w:rsidRPr="008E7709">
        <w:rPr>
          <w:rFonts w:ascii="inherit" w:eastAsia="Times New Roman" w:hAnsi="inherit" w:cs="Times New Roman"/>
          <w:b/>
          <w:bCs/>
          <w:color w:val="444444"/>
          <w:sz w:val="21"/>
          <w:szCs w:val="21"/>
          <w:bdr w:val="none" w:sz="0" w:space="0" w:color="auto" w:frame="1"/>
          <w:lang w:eastAsia="es-AR"/>
        </w:rPr>
        <w:t>Infectología</w:t>
      </w:r>
      <w:proofErr w:type="spellEnd"/>
      <w:r w:rsidRPr="008E7709">
        <w:rPr>
          <w:rFonts w:ascii="inherit" w:eastAsia="Times New Roman" w:hAnsi="inherit" w:cs="Times New Roman"/>
          <w:b/>
          <w:bCs/>
          <w:color w:val="444444"/>
          <w:sz w:val="21"/>
          <w:szCs w:val="21"/>
          <w:bdr w:val="none" w:sz="0" w:space="0" w:color="auto" w:frame="1"/>
          <w:lang w:eastAsia="es-AR"/>
        </w:rPr>
        <w:t xml:space="preserve"> de Córdoba</w:t>
      </w:r>
      <w:r w:rsidRPr="008E7709">
        <w:rPr>
          <w:rFonts w:ascii="inherit" w:eastAsia="Times New Roman" w:hAnsi="inherit" w:cs="Times New Roman"/>
          <w:b/>
          <w:bCs/>
          <w:color w:val="444444"/>
          <w:sz w:val="21"/>
          <w:szCs w:val="21"/>
          <w:bdr w:val="none" w:sz="0" w:space="0" w:color="auto" w:frame="1"/>
          <w:lang w:eastAsia="es-AR"/>
        </w:rPr>
        <w:br/>
      </w:r>
      <w:r w:rsidRPr="008E7709">
        <w:rPr>
          <w:rFonts w:ascii="Open Sans" w:eastAsia="Times New Roman" w:hAnsi="Open Sans" w:cs="Times New Roman"/>
          <w:color w:val="444444"/>
          <w:sz w:val="24"/>
          <w:szCs w:val="24"/>
          <w:lang w:eastAsia="es-AR"/>
        </w:rPr>
        <w:t xml:space="preserve">Autores: Penco Sabrina 1, Romero C. Federico1, Maldonado Miriam 1, </w:t>
      </w:r>
      <w:proofErr w:type="spellStart"/>
      <w:r w:rsidRPr="008E7709">
        <w:rPr>
          <w:rFonts w:ascii="Open Sans" w:eastAsia="Times New Roman" w:hAnsi="Open Sans" w:cs="Times New Roman"/>
          <w:color w:val="444444"/>
          <w:sz w:val="24"/>
          <w:szCs w:val="24"/>
          <w:lang w:eastAsia="es-AR"/>
        </w:rPr>
        <w:t>Sadino</w:t>
      </w:r>
      <w:proofErr w:type="spellEnd"/>
      <w:r w:rsidRPr="008E7709">
        <w:rPr>
          <w:rFonts w:ascii="Open Sans" w:eastAsia="Times New Roman" w:hAnsi="Open Sans" w:cs="Times New Roman"/>
          <w:color w:val="444444"/>
          <w:sz w:val="24"/>
          <w:szCs w:val="24"/>
          <w:lang w:eastAsia="es-AR"/>
        </w:rPr>
        <w:t xml:space="preserve"> </w:t>
      </w:r>
      <w:proofErr w:type="spellStart"/>
      <w:r w:rsidRPr="008E7709">
        <w:rPr>
          <w:rFonts w:ascii="Open Sans" w:eastAsia="Times New Roman" w:hAnsi="Open Sans" w:cs="Times New Roman"/>
          <w:color w:val="444444"/>
          <w:sz w:val="24"/>
          <w:szCs w:val="24"/>
          <w:lang w:eastAsia="es-AR"/>
        </w:rPr>
        <w:t>Vallve</w:t>
      </w:r>
      <w:proofErr w:type="spellEnd"/>
      <w:r w:rsidRPr="008E7709">
        <w:rPr>
          <w:rFonts w:ascii="Open Sans" w:eastAsia="Times New Roman" w:hAnsi="Open Sans" w:cs="Times New Roman"/>
          <w:color w:val="444444"/>
          <w:sz w:val="24"/>
          <w:szCs w:val="24"/>
          <w:lang w:eastAsia="es-AR"/>
        </w:rPr>
        <w:t xml:space="preserve"> Graciela 1, Zarate</w:t>
      </w:r>
      <w:r w:rsidR="00AB0BA5">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 xml:space="preserve">Abel 1, Ravera Lorena1, </w:t>
      </w:r>
      <w:proofErr w:type="spellStart"/>
      <w:r w:rsidRPr="008E7709">
        <w:rPr>
          <w:rFonts w:ascii="Open Sans" w:eastAsia="Times New Roman" w:hAnsi="Open Sans" w:cs="Times New Roman"/>
          <w:color w:val="444444"/>
          <w:sz w:val="24"/>
          <w:szCs w:val="24"/>
          <w:lang w:eastAsia="es-AR"/>
        </w:rPr>
        <w:t>Crinejo</w:t>
      </w:r>
      <w:proofErr w:type="spellEnd"/>
      <w:r w:rsidRPr="008E7709">
        <w:rPr>
          <w:rFonts w:ascii="Open Sans" w:eastAsia="Times New Roman" w:hAnsi="Open Sans" w:cs="Times New Roman"/>
          <w:color w:val="444444"/>
          <w:sz w:val="24"/>
          <w:szCs w:val="24"/>
          <w:lang w:eastAsia="es-AR"/>
        </w:rPr>
        <w:t xml:space="preserve"> Ana1, Visconti Laura 1, Cavallo Juan Manuel 1, </w:t>
      </w:r>
      <w:proofErr w:type="spellStart"/>
      <w:r w:rsidRPr="008E7709">
        <w:rPr>
          <w:rFonts w:ascii="Open Sans" w:eastAsia="Times New Roman" w:hAnsi="Open Sans" w:cs="Times New Roman"/>
          <w:color w:val="444444"/>
          <w:sz w:val="24"/>
          <w:szCs w:val="24"/>
          <w:lang w:eastAsia="es-AR"/>
        </w:rPr>
        <w:t>Lipari</w:t>
      </w:r>
      <w:proofErr w:type="spellEnd"/>
      <w:r w:rsidRPr="008E7709">
        <w:rPr>
          <w:rFonts w:ascii="Open Sans" w:eastAsia="Times New Roman" w:hAnsi="Open Sans" w:cs="Times New Roman"/>
          <w:color w:val="444444"/>
          <w:sz w:val="24"/>
          <w:szCs w:val="24"/>
          <w:lang w:eastAsia="es-AR"/>
        </w:rPr>
        <w:t xml:space="preserve"> Flavio 1, Pizarro M.</w:t>
      </w:r>
      <w:r w:rsidR="00731FDA">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 xml:space="preserve">Silvina 1, Riera Fernando 1, Marino Marcos 1, </w:t>
      </w:r>
      <w:proofErr w:type="spellStart"/>
      <w:r w:rsidRPr="008E7709">
        <w:rPr>
          <w:rFonts w:ascii="Open Sans" w:eastAsia="Times New Roman" w:hAnsi="Open Sans" w:cs="Times New Roman"/>
          <w:color w:val="444444"/>
          <w:sz w:val="24"/>
          <w:szCs w:val="24"/>
          <w:lang w:eastAsia="es-AR"/>
        </w:rPr>
        <w:t>Govedic</w:t>
      </w:r>
      <w:proofErr w:type="spellEnd"/>
      <w:r w:rsidRPr="008E7709">
        <w:rPr>
          <w:rFonts w:ascii="Open Sans" w:eastAsia="Times New Roman" w:hAnsi="Open Sans" w:cs="Times New Roman"/>
          <w:color w:val="444444"/>
          <w:sz w:val="24"/>
          <w:szCs w:val="24"/>
          <w:lang w:eastAsia="es-AR"/>
        </w:rPr>
        <w:t xml:space="preserve"> Francisco 1, </w:t>
      </w:r>
      <w:proofErr w:type="spellStart"/>
      <w:r w:rsidRPr="008E7709">
        <w:rPr>
          <w:rFonts w:ascii="Open Sans" w:eastAsia="Times New Roman" w:hAnsi="Open Sans" w:cs="Times New Roman"/>
          <w:color w:val="444444"/>
          <w:sz w:val="24"/>
          <w:szCs w:val="24"/>
          <w:lang w:eastAsia="es-AR"/>
        </w:rPr>
        <w:t>Spitale</w:t>
      </w:r>
      <w:proofErr w:type="spellEnd"/>
      <w:r w:rsidRPr="008E7709">
        <w:rPr>
          <w:rFonts w:ascii="Open Sans" w:eastAsia="Times New Roman" w:hAnsi="Open Sans" w:cs="Times New Roman"/>
          <w:color w:val="444444"/>
          <w:sz w:val="24"/>
          <w:szCs w:val="24"/>
          <w:lang w:eastAsia="es-AR"/>
        </w:rPr>
        <w:t xml:space="preserve"> Natalia 1, </w:t>
      </w:r>
      <w:proofErr w:type="spellStart"/>
      <w:r w:rsidRPr="008E7709">
        <w:rPr>
          <w:rFonts w:ascii="Open Sans" w:eastAsia="Times New Roman" w:hAnsi="Open Sans" w:cs="Times New Roman"/>
          <w:color w:val="444444"/>
          <w:sz w:val="24"/>
          <w:szCs w:val="24"/>
          <w:lang w:eastAsia="es-AR"/>
        </w:rPr>
        <w:t>Ambach</w:t>
      </w:r>
      <w:proofErr w:type="spellEnd"/>
      <w:r w:rsidRPr="008E7709">
        <w:rPr>
          <w:rFonts w:ascii="Open Sans" w:eastAsia="Times New Roman" w:hAnsi="Open Sans" w:cs="Times New Roman"/>
          <w:color w:val="444444"/>
          <w:sz w:val="24"/>
          <w:szCs w:val="24"/>
          <w:lang w:eastAsia="es-AR"/>
        </w:rPr>
        <w:t xml:space="preserve"> German 2,</w:t>
      </w:r>
      <w:r w:rsidR="00731FDA">
        <w:rPr>
          <w:rFonts w:ascii="Open Sans" w:eastAsia="Times New Roman" w:hAnsi="Open Sans" w:cs="Times New Roman"/>
          <w:color w:val="444444"/>
          <w:sz w:val="24"/>
          <w:szCs w:val="24"/>
          <w:lang w:eastAsia="es-AR"/>
        </w:rPr>
        <w:t xml:space="preserve"> </w:t>
      </w:r>
      <w:proofErr w:type="spellStart"/>
      <w:r w:rsidRPr="008E7709">
        <w:rPr>
          <w:rFonts w:ascii="Open Sans" w:eastAsia="Times New Roman" w:hAnsi="Open Sans" w:cs="Times New Roman"/>
          <w:color w:val="444444"/>
          <w:sz w:val="24"/>
          <w:szCs w:val="24"/>
          <w:lang w:eastAsia="es-AR"/>
        </w:rPr>
        <w:t>Liascovit</w:t>
      </w:r>
      <w:proofErr w:type="spellEnd"/>
      <w:r w:rsidRPr="008E7709">
        <w:rPr>
          <w:rFonts w:ascii="Open Sans" w:eastAsia="Times New Roman" w:hAnsi="Open Sans" w:cs="Times New Roman"/>
          <w:color w:val="444444"/>
          <w:sz w:val="24"/>
          <w:szCs w:val="24"/>
          <w:lang w:eastAsia="es-AR"/>
        </w:rPr>
        <w:t xml:space="preserve"> Diana 3, </w:t>
      </w:r>
      <w:proofErr w:type="spellStart"/>
      <w:r w:rsidRPr="008E7709">
        <w:rPr>
          <w:rFonts w:ascii="Open Sans" w:eastAsia="Times New Roman" w:hAnsi="Open Sans" w:cs="Times New Roman"/>
          <w:color w:val="444444"/>
          <w:sz w:val="24"/>
          <w:szCs w:val="24"/>
          <w:lang w:eastAsia="es-AR"/>
        </w:rPr>
        <w:t>Garcia</w:t>
      </w:r>
      <w:proofErr w:type="spellEnd"/>
      <w:r w:rsidRPr="008E7709">
        <w:rPr>
          <w:rFonts w:ascii="Open Sans" w:eastAsia="Times New Roman" w:hAnsi="Open Sans" w:cs="Times New Roman"/>
          <w:color w:val="444444"/>
          <w:sz w:val="24"/>
          <w:szCs w:val="24"/>
          <w:lang w:eastAsia="es-AR"/>
        </w:rPr>
        <w:t xml:space="preserve"> </w:t>
      </w:r>
      <w:proofErr w:type="spellStart"/>
      <w:r w:rsidRPr="008E7709">
        <w:rPr>
          <w:rFonts w:ascii="Open Sans" w:eastAsia="Times New Roman" w:hAnsi="Open Sans" w:cs="Times New Roman"/>
          <w:color w:val="444444"/>
          <w:sz w:val="24"/>
          <w:szCs w:val="24"/>
          <w:lang w:eastAsia="es-AR"/>
        </w:rPr>
        <w:t>Cucatti</w:t>
      </w:r>
      <w:proofErr w:type="spellEnd"/>
      <w:r w:rsidRPr="008E7709">
        <w:rPr>
          <w:rFonts w:ascii="Open Sans" w:eastAsia="Times New Roman" w:hAnsi="Open Sans" w:cs="Times New Roman"/>
          <w:color w:val="444444"/>
          <w:sz w:val="24"/>
          <w:szCs w:val="24"/>
          <w:lang w:eastAsia="es-AR"/>
        </w:rPr>
        <w:t xml:space="preserve"> M. Eugenia 4, Casas Juan Pablo 5, Kaplan Ruth 6.</w:t>
      </w:r>
      <w:r w:rsidR="00731FDA">
        <w:rPr>
          <w:rFonts w:ascii="Open Sans" w:eastAsia="Times New Roman" w:hAnsi="Open Sans" w:cs="Times New Roman"/>
          <w:color w:val="444444"/>
          <w:sz w:val="24"/>
          <w:szCs w:val="24"/>
          <w:lang w:eastAsia="es-AR"/>
        </w:rPr>
        <w:t xml:space="preserve"> </w:t>
      </w:r>
    </w:p>
    <w:p w:rsidR="008E7709" w:rsidRDefault="008E7709" w:rsidP="00731FDA">
      <w:pPr>
        <w:shd w:val="clear" w:color="auto" w:fill="FFFFFF"/>
        <w:spacing w:after="0" w:line="240" w:lineRule="auto"/>
        <w:textAlignment w:val="baseline"/>
        <w:rPr>
          <w:rFonts w:ascii="inherit" w:eastAsia="Times New Roman" w:hAnsi="inherit" w:cs="Times New Roman"/>
          <w:color w:val="444444"/>
          <w:sz w:val="24"/>
          <w:szCs w:val="24"/>
          <w:lang w:eastAsia="es-AR"/>
        </w:rPr>
      </w:pPr>
      <w:r w:rsidRPr="008E7709">
        <w:rPr>
          <w:rFonts w:ascii="inherit" w:eastAsia="Times New Roman" w:hAnsi="inherit" w:cs="Times New Roman"/>
          <w:color w:val="444444"/>
          <w:sz w:val="24"/>
          <w:szCs w:val="24"/>
          <w:lang w:eastAsia="es-AR"/>
        </w:rPr>
        <w:t xml:space="preserve">Sociedad de </w:t>
      </w:r>
      <w:proofErr w:type="spellStart"/>
      <w:r w:rsidRPr="008E7709">
        <w:rPr>
          <w:rFonts w:ascii="inherit" w:eastAsia="Times New Roman" w:hAnsi="inherit" w:cs="Times New Roman"/>
          <w:color w:val="444444"/>
          <w:sz w:val="24"/>
          <w:szCs w:val="24"/>
          <w:lang w:eastAsia="es-AR"/>
        </w:rPr>
        <w:t>Infectología</w:t>
      </w:r>
      <w:proofErr w:type="spellEnd"/>
      <w:r w:rsidRPr="008E7709">
        <w:rPr>
          <w:rFonts w:ascii="inherit" w:eastAsia="Times New Roman" w:hAnsi="inherit" w:cs="Times New Roman"/>
          <w:color w:val="444444"/>
          <w:sz w:val="24"/>
          <w:szCs w:val="24"/>
          <w:lang w:eastAsia="es-AR"/>
        </w:rPr>
        <w:t xml:space="preserve"> de Córdoba, 2. Círculo Médico de Córdoba, 3. Sociedad de Geriatría y Gerontología, 4. Sociedad de Asma, Alergia e Inmunología. 5. Sociedad de </w:t>
      </w:r>
      <w:proofErr w:type="spellStart"/>
      <w:r w:rsidRPr="008E7709">
        <w:rPr>
          <w:rFonts w:ascii="inherit" w:eastAsia="Times New Roman" w:hAnsi="inherit" w:cs="Times New Roman"/>
          <w:color w:val="444444"/>
          <w:sz w:val="24"/>
          <w:szCs w:val="24"/>
          <w:lang w:eastAsia="es-AR"/>
        </w:rPr>
        <w:t>Neumonología</w:t>
      </w:r>
      <w:proofErr w:type="spellEnd"/>
      <w:r w:rsidRPr="008E7709">
        <w:rPr>
          <w:rFonts w:ascii="inherit" w:eastAsia="Times New Roman" w:hAnsi="inherit" w:cs="Times New Roman"/>
          <w:color w:val="444444"/>
          <w:sz w:val="24"/>
          <w:szCs w:val="24"/>
          <w:lang w:eastAsia="es-AR"/>
        </w:rPr>
        <w:t>, 6. Sociedad de Medicina Interna.</w:t>
      </w:r>
    </w:p>
    <w:p w:rsidR="008E7709" w:rsidRDefault="008E7709" w:rsidP="00731FDA">
      <w:pPr>
        <w:shd w:val="clear" w:color="auto" w:fill="FFFFFF"/>
        <w:spacing w:after="0" w:line="240" w:lineRule="auto"/>
        <w:ind w:left="360"/>
        <w:textAlignment w:val="baseline"/>
        <w:rPr>
          <w:rFonts w:ascii="inherit" w:eastAsia="Times New Roman" w:hAnsi="inherit" w:cs="Times New Roman"/>
          <w:color w:val="444444"/>
          <w:sz w:val="24"/>
          <w:szCs w:val="24"/>
          <w:lang w:eastAsia="es-AR"/>
        </w:rPr>
      </w:pPr>
    </w:p>
    <w:p w:rsidR="00731FDA" w:rsidRPr="008E7709" w:rsidRDefault="00731FDA" w:rsidP="00731FDA">
      <w:pPr>
        <w:shd w:val="clear" w:color="auto" w:fill="FFFFFF"/>
        <w:spacing w:after="0" w:line="240" w:lineRule="auto"/>
        <w:ind w:left="360"/>
        <w:textAlignment w:val="baseline"/>
        <w:rPr>
          <w:rFonts w:ascii="inherit" w:eastAsia="Times New Roman" w:hAnsi="inherit" w:cs="Times New Roman"/>
          <w:color w:val="444444"/>
          <w:sz w:val="24"/>
          <w:szCs w:val="24"/>
          <w:lang w:eastAsia="es-AR"/>
        </w:rPr>
      </w:pPr>
    </w:p>
    <w:p w:rsidR="008E7709" w:rsidRDefault="008E7709" w:rsidP="008E7709">
      <w:pPr>
        <w:shd w:val="clear" w:color="auto" w:fill="FFFFFF"/>
        <w:spacing w:after="0" w:line="240" w:lineRule="auto"/>
        <w:textAlignment w:val="baseline"/>
        <w:rPr>
          <w:rFonts w:ascii="inherit" w:eastAsia="Times New Roman" w:hAnsi="inherit" w:cs="Times New Roman"/>
          <w:b/>
          <w:bCs/>
          <w:color w:val="444444"/>
          <w:sz w:val="21"/>
          <w:szCs w:val="21"/>
          <w:bdr w:val="none" w:sz="0" w:space="0" w:color="auto" w:frame="1"/>
          <w:lang w:eastAsia="es-AR"/>
        </w:rPr>
      </w:pPr>
      <w:r w:rsidRPr="008E7709">
        <w:rPr>
          <w:rFonts w:ascii="inherit" w:eastAsia="Times New Roman" w:hAnsi="inherit" w:cs="Times New Roman"/>
          <w:b/>
          <w:bCs/>
          <w:color w:val="444444"/>
          <w:sz w:val="21"/>
          <w:szCs w:val="21"/>
          <w:bdr w:val="none" w:sz="0" w:space="0" w:color="auto" w:frame="1"/>
          <w:lang w:eastAsia="es-AR"/>
        </w:rPr>
        <w:t>Resumen Ejecutivo</w:t>
      </w:r>
    </w:p>
    <w:p w:rsidR="008E7709" w:rsidRDefault="008E7709" w:rsidP="008E7709">
      <w:pPr>
        <w:shd w:val="clear" w:color="auto" w:fill="FFFFFF"/>
        <w:spacing w:after="0" w:line="240" w:lineRule="auto"/>
        <w:ind w:firstLine="708"/>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Las infecciones respiratorias agudas constituyen un problema relevante de salud pública. Entre los</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 xml:space="preserve">principales virus se destacan influenza, SARS-CoV-2 y virus </w:t>
      </w:r>
      <w:proofErr w:type="spellStart"/>
      <w:r w:rsidRPr="008E7709">
        <w:rPr>
          <w:rFonts w:ascii="Open Sans" w:eastAsia="Times New Roman" w:hAnsi="Open Sans" w:cs="Times New Roman"/>
          <w:color w:val="444444"/>
          <w:sz w:val="24"/>
          <w:szCs w:val="24"/>
          <w:lang w:eastAsia="es-AR"/>
        </w:rPr>
        <w:t>sincitial</w:t>
      </w:r>
      <w:proofErr w:type="spellEnd"/>
      <w:r w:rsidRPr="008E7709">
        <w:rPr>
          <w:rFonts w:ascii="Open Sans" w:eastAsia="Times New Roman" w:hAnsi="Open Sans" w:cs="Times New Roman"/>
          <w:color w:val="444444"/>
          <w:sz w:val="24"/>
          <w:szCs w:val="24"/>
          <w:lang w:eastAsia="es-AR"/>
        </w:rPr>
        <w:t xml:space="preserve"> respiratorio (VSR), responsables de</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 xml:space="preserve">epidemias estacionales y casos graves, </w:t>
      </w:r>
      <w:r>
        <w:rPr>
          <w:rFonts w:ascii="Open Sans" w:eastAsia="Times New Roman" w:hAnsi="Open Sans" w:cs="Times New Roman"/>
          <w:color w:val="444444"/>
          <w:sz w:val="24"/>
          <w:szCs w:val="24"/>
          <w:lang w:eastAsia="es-AR"/>
        </w:rPr>
        <w:t>e</w:t>
      </w:r>
      <w:r w:rsidRPr="008E7709">
        <w:rPr>
          <w:rFonts w:ascii="Open Sans" w:eastAsia="Times New Roman" w:hAnsi="Open Sans" w:cs="Times New Roman"/>
          <w:color w:val="444444"/>
          <w:sz w:val="24"/>
          <w:szCs w:val="24"/>
          <w:lang w:eastAsia="es-AR"/>
        </w:rPr>
        <w:t>specialmente en poblaciones de riesgo. En Argentina, la</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vigilancia epidemiológica en 2025 evidenció circulación de influenza A y B, con predominio del subtipo</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A, así como una presencia sostenida de SARS-CoV-2. El VSR, tradicionalmente pediátrico, también</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afecta a adultos mayores e inmunocomprometidos.</w:t>
      </w:r>
      <w:r>
        <w:rPr>
          <w:rFonts w:ascii="Open Sans" w:eastAsia="Times New Roman" w:hAnsi="Open Sans" w:cs="Times New Roman"/>
          <w:color w:val="444444"/>
          <w:sz w:val="24"/>
          <w:szCs w:val="24"/>
          <w:lang w:eastAsia="es-AR"/>
        </w:rPr>
        <w:t xml:space="preserve"> </w:t>
      </w:r>
    </w:p>
    <w:p w:rsidR="008E7709" w:rsidRDefault="008E7709" w:rsidP="008E7709">
      <w:pPr>
        <w:shd w:val="clear" w:color="auto" w:fill="FFFFFF"/>
        <w:spacing w:after="0" w:line="240" w:lineRule="auto"/>
        <w:ind w:firstLine="708"/>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La vacunación es la estrategia más eficaz para reducir hospitalizaciones y mortalidad, aunque las</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coberturas siguen siendo insuficientes. Se recomienda especialmente en personal de salud,</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embarazadas, adultos mayores y personas con comorbilidades.</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Las vacunas contra influenza son inactivadas y requieren aplicación anual. Existen formulaciones</w:t>
      </w:r>
      <w:r>
        <w:rPr>
          <w:rFonts w:ascii="Open Sans" w:eastAsia="Times New Roman" w:hAnsi="Open Sans" w:cs="Times New Roman"/>
          <w:color w:val="444444"/>
          <w:sz w:val="24"/>
          <w:szCs w:val="24"/>
          <w:lang w:eastAsia="es-AR"/>
        </w:rPr>
        <w:t xml:space="preserve"> </w:t>
      </w:r>
      <w:proofErr w:type="spellStart"/>
      <w:r w:rsidRPr="008E7709">
        <w:rPr>
          <w:rFonts w:ascii="Open Sans" w:eastAsia="Times New Roman" w:hAnsi="Open Sans" w:cs="Times New Roman"/>
          <w:color w:val="444444"/>
          <w:sz w:val="24"/>
          <w:szCs w:val="24"/>
          <w:lang w:eastAsia="es-AR"/>
        </w:rPr>
        <w:t>adyuvantadas</w:t>
      </w:r>
      <w:proofErr w:type="spellEnd"/>
      <w:r w:rsidRPr="008E7709">
        <w:rPr>
          <w:rFonts w:ascii="Open Sans" w:eastAsia="Times New Roman" w:hAnsi="Open Sans" w:cs="Times New Roman"/>
          <w:color w:val="444444"/>
          <w:sz w:val="24"/>
          <w:szCs w:val="24"/>
          <w:lang w:eastAsia="es-AR"/>
        </w:rPr>
        <w:t xml:space="preserve"> que mejoran la respuesta inmune, particularmente en adultos mayores. Los efectos</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adversos son leves y poco frecuentes.</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 xml:space="preserve">Para COVID-19, se dispone de vacunas de </w:t>
      </w:r>
      <w:proofErr w:type="spellStart"/>
      <w:r w:rsidRPr="008E7709">
        <w:rPr>
          <w:rFonts w:ascii="Open Sans" w:eastAsia="Times New Roman" w:hAnsi="Open Sans" w:cs="Times New Roman"/>
          <w:color w:val="444444"/>
          <w:sz w:val="24"/>
          <w:szCs w:val="24"/>
          <w:lang w:eastAsia="es-AR"/>
        </w:rPr>
        <w:t>ARNm</w:t>
      </w:r>
      <w:proofErr w:type="spellEnd"/>
      <w:r w:rsidRPr="008E7709">
        <w:rPr>
          <w:rFonts w:ascii="Open Sans" w:eastAsia="Times New Roman" w:hAnsi="Open Sans" w:cs="Times New Roman"/>
          <w:color w:val="444444"/>
          <w:sz w:val="24"/>
          <w:szCs w:val="24"/>
          <w:lang w:eastAsia="es-AR"/>
        </w:rPr>
        <w:t xml:space="preserve"> como COMIRNATY JN.</w:t>
      </w:r>
      <w:r w:rsidRPr="008E7709">
        <w:rPr>
          <w:rFonts w:ascii="Open Sans" w:eastAsia="Times New Roman" w:hAnsi="Open Sans" w:cs="Times New Roman"/>
          <w:color w:val="444444"/>
          <w:sz w:val="24"/>
          <w:szCs w:val="24"/>
          <w:vertAlign w:val="superscript"/>
          <w:lang w:eastAsia="es-AR"/>
        </w:rPr>
        <w:t>1</w:t>
      </w:r>
      <w:r w:rsidRPr="008E7709">
        <w:rPr>
          <w:rFonts w:ascii="Open Sans" w:eastAsia="Times New Roman" w:hAnsi="Open Sans" w:cs="Times New Roman"/>
          <w:color w:val="444444"/>
          <w:sz w:val="24"/>
          <w:szCs w:val="24"/>
          <w:lang w:eastAsia="es-AR"/>
        </w:rPr>
        <w:t>. Se indican refuerzos</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 xml:space="preserve">periódicos según edad y riesgo: cada 6 meses en personas </w:t>
      </w:r>
      <w:proofErr w:type="spellStart"/>
      <w:r w:rsidRPr="008E7709">
        <w:rPr>
          <w:rFonts w:ascii="Open Sans" w:eastAsia="Times New Roman" w:hAnsi="Open Sans" w:cs="Times New Roman"/>
          <w:color w:val="444444"/>
          <w:sz w:val="24"/>
          <w:szCs w:val="24"/>
          <w:lang w:eastAsia="es-AR"/>
        </w:rPr>
        <w:t>inmunosuprimidas</w:t>
      </w:r>
      <w:proofErr w:type="spellEnd"/>
      <w:r w:rsidRPr="008E7709">
        <w:rPr>
          <w:rFonts w:ascii="Open Sans" w:eastAsia="Times New Roman" w:hAnsi="Open Sans" w:cs="Times New Roman"/>
          <w:color w:val="444444"/>
          <w:sz w:val="24"/>
          <w:szCs w:val="24"/>
          <w:lang w:eastAsia="es-AR"/>
        </w:rPr>
        <w:t xml:space="preserve"> y anual en aquellos con</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enfermedades crónicas o mayores de 65 años. Las reacciones adversas suelen ser leves; eventos graves</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como miocarditis son raros.</w:t>
      </w:r>
      <w:r w:rsidRPr="008E7709">
        <w:rPr>
          <w:rFonts w:ascii="Open Sans" w:eastAsia="Times New Roman" w:hAnsi="Open Sans" w:cs="Times New Roman"/>
          <w:color w:val="444444"/>
          <w:sz w:val="24"/>
          <w:szCs w:val="24"/>
          <w:lang w:eastAsia="es-AR"/>
        </w:rPr>
        <w:br/>
        <w:t>En relación al VSR, existen vacunas recombinantes indicadas en adultos mayores, personas con factores</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de riesgo y embarazadas para proteger a los recién nacidos hasta los 6 meses de vida. Proporcionan</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protección con una sola dosis y presentan buen perfil de seguridad.</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 xml:space="preserve">La coadministración de vacunas contra influenza, COVID-19 y VSR es segura y permite </w:t>
      </w:r>
      <w:r>
        <w:rPr>
          <w:rFonts w:ascii="Open Sans" w:eastAsia="Times New Roman" w:hAnsi="Open Sans" w:cs="Times New Roman"/>
          <w:color w:val="444444"/>
          <w:sz w:val="24"/>
          <w:szCs w:val="24"/>
          <w:lang w:eastAsia="es-AR"/>
        </w:rPr>
        <w:t>o</w:t>
      </w:r>
      <w:r w:rsidRPr="008E7709">
        <w:rPr>
          <w:rFonts w:ascii="Open Sans" w:eastAsia="Times New Roman" w:hAnsi="Open Sans" w:cs="Times New Roman"/>
          <w:color w:val="444444"/>
          <w:sz w:val="24"/>
          <w:szCs w:val="24"/>
          <w:lang w:eastAsia="es-AR"/>
        </w:rPr>
        <w:t>ptimizar la</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cobertura. En conjunto, la inmunización constituye una herramienta central para disminuir la carga de</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enfermedad en el contexto de circulación simultánea de múltiples virus respiratorios.</w:t>
      </w:r>
    </w:p>
    <w:p w:rsidR="008E7709" w:rsidRDefault="008E7709" w:rsidP="008E7709">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p>
    <w:p w:rsidR="008E7709" w:rsidRPr="008E7709" w:rsidRDefault="008E7709" w:rsidP="008E7709">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p>
    <w:p w:rsidR="008E7709" w:rsidRDefault="008E7709" w:rsidP="008E7709">
      <w:pPr>
        <w:shd w:val="clear" w:color="auto" w:fill="FFFFFF"/>
        <w:spacing w:after="0" w:line="240" w:lineRule="auto"/>
        <w:textAlignment w:val="baseline"/>
        <w:rPr>
          <w:rFonts w:ascii="inherit" w:eastAsia="Times New Roman" w:hAnsi="inherit" w:cs="Times New Roman"/>
          <w:b/>
          <w:bCs/>
          <w:color w:val="444444"/>
          <w:sz w:val="21"/>
          <w:szCs w:val="21"/>
          <w:bdr w:val="none" w:sz="0" w:space="0" w:color="auto" w:frame="1"/>
          <w:lang w:eastAsia="es-AR"/>
        </w:rPr>
      </w:pPr>
      <w:r w:rsidRPr="008E7709">
        <w:rPr>
          <w:rFonts w:ascii="inherit" w:eastAsia="Times New Roman" w:hAnsi="inherit" w:cs="Times New Roman"/>
          <w:b/>
          <w:bCs/>
          <w:color w:val="444444"/>
          <w:sz w:val="21"/>
          <w:szCs w:val="21"/>
          <w:bdr w:val="none" w:sz="0" w:space="0" w:color="auto" w:frame="1"/>
          <w:lang w:eastAsia="es-AR"/>
        </w:rPr>
        <w:t>Introducción</w:t>
      </w:r>
    </w:p>
    <w:p w:rsidR="008E7709" w:rsidRDefault="008E7709" w:rsidP="00AB0BA5">
      <w:pPr>
        <w:shd w:val="clear" w:color="auto" w:fill="FFFFFF"/>
        <w:spacing w:after="0" w:line="240" w:lineRule="auto"/>
        <w:ind w:firstLine="708"/>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Las infecciones respiratorias agudas representan un desafío significativo para los sistemas de salud.</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 xml:space="preserve">La gripe o influenza son un grupo de virus que se clasifican en cuatro tipos: A, B, C y D. Solamente los tipos A y B tienen relevancia clínica en seres humanos. La </w:t>
      </w:r>
      <w:r>
        <w:rPr>
          <w:rFonts w:ascii="Open Sans" w:eastAsia="Times New Roman" w:hAnsi="Open Sans" w:cs="Times New Roman"/>
          <w:color w:val="444444"/>
          <w:sz w:val="24"/>
          <w:szCs w:val="24"/>
          <w:lang w:eastAsia="es-AR"/>
        </w:rPr>
        <w:t>i</w:t>
      </w:r>
      <w:r w:rsidRPr="008E7709">
        <w:rPr>
          <w:rFonts w:ascii="Open Sans" w:eastAsia="Times New Roman" w:hAnsi="Open Sans" w:cs="Times New Roman"/>
          <w:color w:val="444444"/>
          <w:sz w:val="24"/>
          <w:szCs w:val="24"/>
          <w:lang w:eastAsia="es-AR"/>
        </w:rPr>
        <w:t xml:space="preserve">nfluenza A se subdivide según las proteínas de superficie </w:t>
      </w:r>
      <w:proofErr w:type="spellStart"/>
      <w:r w:rsidRPr="008E7709">
        <w:rPr>
          <w:rFonts w:ascii="Open Sans" w:eastAsia="Times New Roman" w:hAnsi="Open Sans" w:cs="Times New Roman"/>
          <w:color w:val="444444"/>
          <w:sz w:val="24"/>
          <w:szCs w:val="24"/>
          <w:lang w:eastAsia="es-AR"/>
        </w:rPr>
        <w:t>hemaglutinina</w:t>
      </w:r>
      <w:proofErr w:type="spellEnd"/>
      <w:r w:rsidRPr="008E7709">
        <w:rPr>
          <w:rFonts w:ascii="Open Sans" w:eastAsia="Times New Roman" w:hAnsi="Open Sans" w:cs="Times New Roman"/>
          <w:color w:val="444444"/>
          <w:sz w:val="24"/>
          <w:szCs w:val="24"/>
          <w:lang w:eastAsia="es-AR"/>
        </w:rPr>
        <w:t xml:space="preserve"> (H) y </w:t>
      </w:r>
      <w:proofErr w:type="spellStart"/>
      <w:r w:rsidRPr="008E7709">
        <w:rPr>
          <w:rFonts w:ascii="Open Sans" w:eastAsia="Times New Roman" w:hAnsi="Open Sans" w:cs="Times New Roman"/>
          <w:color w:val="444444"/>
          <w:sz w:val="24"/>
          <w:szCs w:val="24"/>
          <w:lang w:eastAsia="es-AR"/>
        </w:rPr>
        <w:t>neuraminidasa</w:t>
      </w:r>
      <w:proofErr w:type="spellEnd"/>
      <w:r w:rsidRPr="008E7709">
        <w:rPr>
          <w:rFonts w:ascii="Open Sans" w:eastAsia="Times New Roman" w:hAnsi="Open Sans" w:cs="Times New Roman"/>
          <w:color w:val="444444"/>
          <w:sz w:val="24"/>
          <w:szCs w:val="24"/>
          <w:lang w:eastAsia="es-AR"/>
        </w:rPr>
        <w:t xml:space="preserve"> (N). La influenza B se </w:t>
      </w:r>
      <w:r w:rsidR="00731FDA" w:rsidRPr="008E7709">
        <w:rPr>
          <w:rFonts w:ascii="Open Sans" w:eastAsia="Times New Roman" w:hAnsi="Open Sans" w:cs="Times New Roman"/>
          <w:color w:val="444444"/>
          <w:sz w:val="24"/>
          <w:szCs w:val="24"/>
          <w:lang w:eastAsia="es-AR"/>
        </w:rPr>
        <w:t>agrupa</w:t>
      </w:r>
      <w:r w:rsidRPr="008E7709">
        <w:rPr>
          <w:rFonts w:ascii="Open Sans" w:eastAsia="Times New Roman" w:hAnsi="Open Sans" w:cs="Times New Roman"/>
          <w:color w:val="444444"/>
          <w:sz w:val="24"/>
          <w:szCs w:val="24"/>
          <w:lang w:eastAsia="es-AR"/>
        </w:rPr>
        <w:t xml:space="preserve"> en dos linajes principales, Victoria y Yamagata, con múltiples </w:t>
      </w:r>
      <w:proofErr w:type="spellStart"/>
      <w:r w:rsidRPr="008E7709">
        <w:rPr>
          <w:rFonts w:ascii="Open Sans" w:eastAsia="Times New Roman" w:hAnsi="Open Sans" w:cs="Times New Roman"/>
          <w:color w:val="444444"/>
          <w:sz w:val="24"/>
          <w:szCs w:val="24"/>
          <w:lang w:eastAsia="es-AR"/>
        </w:rPr>
        <w:t>subclados</w:t>
      </w:r>
      <w:proofErr w:type="spellEnd"/>
      <w:r w:rsidRPr="008E7709">
        <w:rPr>
          <w:rFonts w:ascii="Open Sans" w:eastAsia="Times New Roman" w:hAnsi="Open Sans" w:cs="Times New Roman"/>
          <w:color w:val="444444"/>
          <w:sz w:val="24"/>
          <w:szCs w:val="24"/>
          <w:lang w:eastAsia="es-AR"/>
        </w:rPr>
        <w:t xml:space="preserve">. Estos virus son responsables de epidemias anuales, generalmente durante los </w:t>
      </w:r>
      <w:r>
        <w:rPr>
          <w:rFonts w:ascii="Open Sans" w:eastAsia="Times New Roman" w:hAnsi="Open Sans" w:cs="Times New Roman"/>
          <w:color w:val="444444"/>
          <w:sz w:val="24"/>
          <w:szCs w:val="24"/>
          <w:lang w:eastAsia="es-AR"/>
        </w:rPr>
        <w:t>m</w:t>
      </w:r>
      <w:r w:rsidRPr="008E7709">
        <w:rPr>
          <w:rFonts w:ascii="Open Sans" w:eastAsia="Times New Roman" w:hAnsi="Open Sans" w:cs="Times New Roman"/>
          <w:color w:val="444444"/>
          <w:sz w:val="24"/>
          <w:szCs w:val="24"/>
          <w:lang w:eastAsia="es-AR"/>
        </w:rPr>
        <w:t>eses de invierno, aunque la circulación viral puede persistir todo el año.</w:t>
      </w:r>
    </w:p>
    <w:p w:rsidR="008E7709" w:rsidRDefault="008E7709" w:rsidP="00AB0BA5">
      <w:pPr>
        <w:shd w:val="clear" w:color="auto" w:fill="FFFFFF"/>
        <w:spacing w:after="0" w:line="240" w:lineRule="auto"/>
        <w:ind w:firstLine="708"/>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lastRenderedPageBreak/>
        <w:t xml:space="preserve">En Argentina, las Unidades de Monitoreo Ambulatorio de Virus Respiratorios (UMA) de casos leves ambulatorios, durante 2025 registraron 1014 detecciones de Influenza entre 5.644 muestras estudiadas, con una positividad acumulada de 17,97%. La Red Argentina de Vigilancia Centinela de Infección Respiratoria Aguda Grave (IRAG), los casos reportados </w:t>
      </w:r>
      <w:r>
        <w:rPr>
          <w:rFonts w:ascii="Open Sans" w:eastAsia="Times New Roman" w:hAnsi="Open Sans" w:cs="Times New Roman"/>
          <w:color w:val="444444"/>
          <w:sz w:val="24"/>
          <w:szCs w:val="24"/>
          <w:lang w:eastAsia="es-AR"/>
        </w:rPr>
        <w:t>c</w:t>
      </w:r>
      <w:r w:rsidRPr="008E7709">
        <w:rPr>
          <w:rFonts w:ascii="Open Sans" w:eastAsia="Times New Roman" w:hAnsi="Open Sans" w:cs="Times New Roman"/>
          <w:color w:val="444444"/>
          <w:sz w:val="24"/>
          <w:szCs w:val="24"/>
          <w:lang w:eastAsia="es-AR"/>
        </w:rPr>
        <w:t xml:space="preserve">orresponden a influenza A con 618 detecciones (342 H1N1, 7 H3N2, el resto sin </w:t>
      </w:r>
      <w:proofErr w:type="spellStart"/>
      <w:r>
        <w:rPr>
          <w:rFonts w:ascii="Open Sans" w:eastAsia="Times New Roman" w:hAnsi="Open Sans" w:cs="Times New Roman"/>
          <w:color w:val="444444"/>
          <w:sz w:val="24"/>
          <w:szCs w:val="24"/>
          <w:lang w:eastAsia="es-AR"/>
        </w:rPr>
        <w:t>s</w:t>
      </w:r>
      <w:r w:rsidRPr="008E7709">
        <w:rPr>
          <w:rFonts w:ascii="Open Sans" w:eastAsia="Times New Roman" w:hAnsi="Open Sans" w:cs="Times New Roman"/>
          <w:color w:val="444444"/>
          <w:sz w:val="24"/>
          <w:szCs w:val="24"/>
          <w:lang w:eastAsia="es-AR"/>
        </w:rPr>
        <w:t>ubtipificar</w:t>
      </w:r>
      <w:proofErr w:type="spellEnd"/>
      <w:r w:rsidRPr="008E7709">
        <w:rPr>
          <w:rFonts w:ascii="Open Sans" w:eastAsia="Times New Roman" w:hAnsi="Open Sans" w:cs="Times New Roman"/>
          <w:color w:val="444444"/>
          <w:sz w:val="24"/>
          <w:szCs w:val="24"/>
          <w:lang w:eastAsia="es-AR"/>
        </w:rPr>
        <w:t>), y un menor número de casos de influenza B (n=30; 11 linaje Victoria)</w:t>
      </w:r>
      <w:r w:rsidRPr="008E7709">
        <w:rPr>
          <w:rFonts w:ascii="Open Sans" w:eastAsia="Times New Roman" w:hAnsi="Open Sans" w:cs="Times New Roman"/>
          <w:color w:val="444444"/>
          <w:sz w:val="24"/>
          <w:szCs w:val="24"/>
          <w:vertAlign w:val="superscript"/>
          <w:lang w:eastAsia="es-AR"/>
        </w:rPr>
        <w:t>1</w:t>
      </w:r>
      <w:r w:rsidRPr="008E7709">
        <w:rPr>
          <w:rFonts w:ascii="Open Sans" w:eastAsia="Times New Roman" w:hAnsi="Open Sans" w:cs="Times New Roman"/>
          <w:color w:val="444444"/>
          <w:sz w:val="24"/>
          <w:szCs w:val="24"/>
          <w:lang w:eastAsia="es-AR"/>
        </w:rPr>
        <w:t>.</w:t>
      </w:r>
    </w:p>
    <w:p w:rsidR="008E7709" w:rsidRDefault="008E7709" w:rsidP="00AB0BA5">
      <w:pPr>
        <w:shd w:val="clear" w:color="auto" w:fill="FFFFFF"/>
        <w:spacing w:after="0" w:line="240" w:lineRule="auto"/>
        <w:ind w:firstLine="708"/>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La vacunación tiene una alta eficacia para prevenir complicaciones graves de influenza (internación y/o mortalidad), pero las tasas de cobertura siguen siendo bajas. Datos actuales han demostrado que más de la mitad de los adultos con indicación de vacunación contra influenza no se encuentran inmunizados</w:t>
      </w:r>
      <w:r w:rsidRPr="008E7709">
        <w:rPr>
          <w:rFonts w:ascii="Open Sans" w:eastAsia="Times New Roman" w:hAnsi="Open Sans" w:cs="Times New Roman"/>
          <w:color w:val="444444"/>
          <w:sz w:val="24"/>
          <w:szCs w:val="24"/>
          <w:vertAlign w:val="superscript"/>
          <w:lang w:eastAsia="es-AR"/>
        </w:rPr>
        <w:t>2</w:t>
      </w:r>
      <w:r w:rsidRPr="008E7709">
        <w:rPr>
          <w:rFonts w:ascii="Open Sans" w:eastAsia="Times New Roman" w:hAnsi="Open Sans" w:cs="Times New Roman"/>
          <w:color w:val="444444"/>
          <w:sz w:val="24"/>
          <w:szCs w:val="24"/>
          <w:lang w:eastAsia="es-AR"/>
        </w:rPr>
        <w:t>.</w:t>
      </w:r>
    </w:p>
    <w:p w:rsidR="008E7709" w:rsidRDefault="008E7709" w:rsidP="00AB0BA5">
      <w:pPr>
        <w:shd w:val="clear" w:color="auto" w:fill="FFFFFF"/>
        <w:spacing w:after="0" w:line="240" w:lineRule="auto"/>
        <w:ind w:firstLine="708"/>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En relación con el SARS-CoV-2 (COVID-19), el virus ha transitado desde una fase pandémica hacia un patrón de circulación endémica con brotes epidémicos intermitentes, determinado por la emergencia de nuevas variantes y una inmunidad poblacional heterogénea. Si bien la incidencia de enfermedad grave ha disminuido en comparación con los primeros años de la pandemia, continúa siendo un agente relevante de morbimortalidad, especialmente en adultos mayores, personas con comorbilidades y pacientes inmunocomprometidos</w:t>
      </w:r>
      <w:r w:rsidRPr="008E7709">
        <w:rPr>
          <w:rFonts w:ascii="Open Sans" w:eastAsia="Times New Roman" w:hAnsi="Open Sans" w:cs="Times New Roman"/>
          <w:color w:val="444444"/>
          <w:sz w:val="24"/>
          <w:szCs w:val="24"/>
          <w:vertAlign w:val="superscript"/>
          <w:lang w:eastAsia="es-AR"/>
        </w:rPr>
        <w:t>3</w:t>
      </w:r>
      <w:r w:rsidRPr="008E7709">
        <w:rPr>
          <w:rFonts w:ascii="Open Sans" w:eastAsia="Times New Roman" w:hAnsi="Open Sans" w:cs="Times New Roman"/>
          <w:color w:val="444444"/>
          <w:sz w:val="24"/>
          <w:szCs w:val="24"/>
          <w:lang w:eastAsia="es-AR"/>
        </w:rPr>
        <w:t xml:space="preserve">. A diferencia de otros virus respiratorios, la infección por SARS-CoV-2 se caracteriza por un mayor compromiso sistémico, con asociación a complicaciones </w:t>
      </w:r>
      <w:proofErr w:type="spellStart"/>
      <w:r w:rsidRPr="008E7709">
        <w:rPr>
          <w:rFonts w:ascii="Open Sans" w:eastAsia="Times New Roman" w:hAnsi="Open Sans" w:cs="Times New Roman"/>
          <w:color w:val="444444"/>
          <w:sz w:val="24"/>
          <w:szCs w:val="24"/>
          <w:lang w:eastAsia="es-AR"/>
        </w:rPr>
        <w:t>extrapulmonares</w:t>
      </w:r>
      <w:proofErr w:type="spellEnd"/>
      <w:r w:rsidRPr="008E7709">
        <w:rPr>
          <w:rFonts w:ascii="Open Sans" w:eastAsia="Times New Roman" w:hAnsi="Open Sans" w:cs="Times New Roman"/>
          <w:color w:val="444444"/>
          <w:sz w:val="24"/>
          <w:szCs w:val="24"/>
          <w:lang w:eastAsia="es-AR"/>
        </w:rPr>
        <w:t xml:space="preserve"> como eventos cardiovasculares, fenómenos </w:t>
      </w:r>
      <w:proofErr w:type="spellStart"/>
      <w:r w:rsidRPr="008E7709">
        <w:rPr>
          <w:rFonts w:ascii="Open Sans" w:eastAsia="Times New Roman" w:hAnsi="Open Sans" w:cs="Times New Roman"/>
          <w:color w:val="444444"/>
          <w:sz w:val="24"/>
          <w:szCs w:val="24"/>
          <w:lang w:eastAsia="es-AR"/>
        </w:rPr>
        <w:t>tromboembólicos</w:t>
      </w:r>
      <w:proofErr w:type="spellEnd"/>
      <w:r w:rsidRPr="008E7709">
        <w:rPr>
          <w:rFonts w:ascii="Open Sans" w:eastAsia="Times New Roman" w:hAnsi="Open Sans" w:cs="Times New Roman"/>
          <w:color w:val="444444"/>
          <w:sz w:val="24"/>
          <w:szCs w:val="24"/>
          <w:lang w:eastAsia="es-AR"/>
        </w:rPr>
        <w:t xml:space="preserve"> y disfunción </w:t>
      </w:r>
      <w:proofErr w:type="spellStart"/>
      <w:r w:rsidRPr="008E7709">
        <w:rPr>
          <w:rFonts w:ascii="Open Sans" w:eastAsia="Times New Roman" w:hAnsi="Open Sans" w:cs="Times New Roman"/>
          <w:color w:val="444444"/>
          <w:sz w:val="24"/>
          <w:szCs w:val="24"/>
          <w:lang w:eastAsia="es-AR"/>
        </w:rPr>
        <w:t>multiorgánica</w:t>
      </w:r>
      <w:proofErr w:type="spellEnd"/>
      <w:r w:rsidRPr="008E7709">
        <w:rPr>
          <w:rFonts w:ascii="Open Sans" w:eastAsia="Times New Roman" w:hAnsi="Open Sans" w:cs="Times New Roman"/>
          <w:color w:val="444444"/>
          <w:sz w:val="24"/>
          <w:szCs w:val="24"/>
          <w:lang w:eastAsia="es-AR"/>
        </w:rPr>
        <w:t>, tanto en la fase aguda como en el período post-agudo. Asimismo, el síndrome post-COVID o COVID prolongado representa una carga adicional para los sistemas de salud, con manifestaciones persistentes que pueden afectar la calidad de vida de los pacientes</w:t>
      </w:r>
      <w:r w:rsidRPr="008E7709">
        <w:rPr>
          <w:rFonts w:ascii="Open Sans" w:eastAsia="Times New Roman" w:hAnsi="Open Sans" w:cs="Times New Roman"/>
          <w:color w:val="444444"/>
          <w:sz w:val="24"/>
          <w:szCs w:val="24"/>
          <w:vertAlign w:val="superscript"/>
          <w:lang w:eastAsia="es-AR"/>
        </w:rPr>
        <w:t>4</w:t>
      </w:r>
      <w:r w:rsidRPr="008E7709">
        <w:rPr>
          <w:rFonts w:ascii="Open Sans" w:eastAsia="Times New Roman" w:hAnsi="Open Sans" w:cs="Times New Roman"/>
          <w:color w:val="444444"/>
          <w:sz w:val="24"/>
          <w:szCs w:val="24"/>
          <w:lang w:eastAsia="es-AR"/>
        </w:rPr>
        <w:t>.</w:t>
      </w:r>
    </w:p>
    <w:p w:rsidR="008E7709" w:rsidRDefault="008E7709" w:rsidP="00AB0BA5">
      <w:pPr>
        <w:shd w:val="clear" w:color="auto" w:fill="FFFFFF"/>
        <w:spacing w:after="0" w:line="240" w:lineRule="auto"/>
        <w:ind w:firstLine="708"/>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En 2025, las UMA analizaron mediante técnica molecular 6.023 muestras de las cuales 444 resultaron positivas, con un porcentaje de positividad acumulado de 7,37%. Los casos de IRAG se mantuvieron en niveles bajos</w:t>
      </w:r>
      <w:r w:rsidRPr="008E7709">
        <w:rPr>
          <w:rFonts w:ascii="Open Sans" w:eastAsia="Times New Roman" w:hAnsi="Open Sans" w:cs="Times New Roman"/>
          <w:color w:val="444444"/>
          <w:sz w:val="24"/>
          <w:szCs w:val="24"/>
          <w:vertAlign w:val="superscript"/>
          <w:lang w:eastAsia="es-AR"/>
        </w:rPr>
        <w:t>1</w:t>
      </w:r>
      <w:r w:rsidRPr="008E7709">
        <w:rPr>
          <w:rFonts w:ascii="Open Sans" w:eastAsia="Times New Roman" w:hAnsi="Open Sans" w:cs="Times New Roman"/>
          <w:color w:val="444444"/>
          <w:sz w:val="24"/>
          <w:szCs w:val="24"/>
          <w:lang w:eastAsia="es-AR"/>
        </w:rPr>
        <w:t>.</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 xml:space="preserve">En este contexto, SARS-CoV-2 se consolida como un componente estructural de la epidemiología actual de las infecciones respiratorias, contribuyendo a la carga global de enfermedad en escenarios de </w:t>
      </w:r>
      <w:proofErr w:type="spellStart"/>
      <w:r w:rsidRPr="008E7709">
        <w:rPr>
          <w:rFonts w:ascii="Open Sans" w:eastAsia="Times New Roman" w:hAnsi="Open Sans" w:cs="Times New Roman"/>
          <w:color w:val="444444"/>
          <w:sz w:val="24"/>
          <w:szCs w:val="24"/>
          <w:lang w:eastAsia="es-AR"/>
        </w:rPr>
        <w:t>co</w:t>
      </w:r>
      <w:proofErr w:type="spellEnd"/>
      <w:r w:rsidRPr="008E7709">
        <w:rPr>
          <w:rFonts w:ascii="Open Sans" w:eastAsia="Times New Roman" w:hAnsi="Open Sans" w:cs="Times New Roman"/>
          <w:color w:val="444444"/>
          <w:sz w:val="24"/>
          <w:szCs w:val="24"/>
          <w:lang w:eastAsia="es-AR"/>
        </w:rPr>
        <w:t>-circulación viral.</w:t>
      </w:r>
    </w:p>
    <w:p w:rsidR="008E7709" w:rsidRDefault="008E7709" w:rsidP="00AB0BA5">
      <w:pPr>
        <w:shd w:val="clear" w:color="auto" w:fill="FFFFFF"/>
        <w:spacing w:after="0" w:line="240" w:lineRule="auto"/>
        <w:ind w:firstLine="708"/>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 xml:space="preserve">De manera similar a influenza y VSR, la vacunación contra COVID-19 ha demostrado ser altamente efectiva para reducir hospitalización y mortalidad, consolidándose como una herramienta central en la prevención de enfermedad grave dentro del actual escenario de </w:t>
      </w:r>
      <w:proofErr w:type="spellStart"/>
      <w:r w:rsidRPr="008E7709">
        <w:rPr>
          <w:rFonts w:ascii="Open Sans" w:eastAsia="Times New Roman" w:hAnsi="Open Sans" w:cs="Times New Roman"/>
          <w:color w:val="444444"/>
          <w:sz w:val="24"/>
          <w:szCs w:val="24"/>
          <w:lang w:eastAsia="es-AR"/>
        </w:rPr>
        <w:t>co</w:t>
      </w:r>
      <w:proofErr w:type="spellEnd"/>
      <w:r w:rsidRPr="008E7709">
        <w:rPr>
          <w:rFonts w:ascii="Open Sans" w:eastAsia="Times New Roman" w:hAnsi="Open Sans" w:cs="Times New Roman"/>
          <w:color w:val="444444"/>
          <w:sz w:val="24"/>
          <w:szCs w:val="24"/>
          <w:lang w:eastAsia="es-AR"/>
        </w:rPr>
        <w:t>-circulación de virus respiratorios</w:t>
      </w:r>
      <w:r w:rsidRPr="008E7709">
        <w:rPr>
          <w:rFonts w:ascii="Open Sans" w:eastAsia="Times New Roman" w:hAnsi="Open Sans" w:cs="Times New Roman"/>
          <w:color w:val="444444"/>
          <w:sz w:val="24"/>
          <w:szCs w:val="24"/>
          <w:vertAlign w:val="superscript"/>
          <w:lang w:eastAsia="es-AR"/>
        </w:rPr>
        <w:t>5</w:t>
      </w:r>
      <w:r w:rsidRPr="008E7709">
        <w:rPr>
          <w:rFonts w:ascii="Open Sans" w:eastAsia="Times New Roman" w:hAnsi="Open Sans" w:cs="Times New Roman"/>
          <w:color w:val="444444"/>
          <w:sz w:val="24"/>
          <w:szCs w:val="24"/>
          <w:lang w:eastAsia="es-AR"/>
        </w:rPr>
        <w:t>.</w:t>
      </w:r>
    </w:p>
    <w:p w:rsidR="008E7709" w:rsidRDefault="008E7709" w:rsidP="00AB0BA5">
      <w:pPr>
        <w:shd w:val="clear" w:color="auto" w:fill="FFFFFF"/>
        <w:spacing w:after="0" w:line="240" w:lineRule="auto"/>
        <w:ind w:firstLine="708"/>
        <w:jc w:val="both"/>
        <w:textAlignment w:val="baseline"/>
        <w:rPr>
          <w:rFonts w:ascii="Open Sans" w:eastAsia="Times New Roman" w:hAnsi="Open Sans" w:cs="Times New Roman"/>
          <w:color w:val="444444"/>
          <w:sz w:val="24"/>
          <w:szCs w:val="24"/>
          <w:lang w:eastAsia="es-AR"/>
        </w:rPr>
      </w:pPr>
    </w:p>
    <w:p w:rsidR="008E7709" w:rsidRDefault="008E7709" w:rsidP="00AB0BA5">
      <w:pPr>
        <w:shd w:val="clear" w:color="auto" w:fill="FFFFFF"/>
        <w:spacing w:after="0" w:line="240" w:lineRule="auto"/>
        <w:ind w:firstLine="708"/>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 xml:space="preserve">El Virus </w:t>
      </w:r>
      <w:proofErr w:type="spellStart"/>
      <w:r w:rsidRPr="008E7709">
        <w:rPr>
          <w:rFonts w:ascii="Open Sans" w:eastAsia="Times New Roman" w:hAnsi="Open Sans" w:cs="Times New Roman"/>
          <w:color w:val="444444"/>
          <w:sz w:val="24"/>
          <w:szCs w:val="24"/>
          <w:lang w:eastAsia="es-AR"/>
        </w:rPr>
        <w:t>Sincitial</w:t>
      </w:r>
      <w:proofErr w:type="spellEnd"/>
      <w:r w:rsidRPr="008E7709">
        <w:rPr>
          <w:rFonts w:ascii="Open Sans" w:eastAsia="Times New Roman" w:hAnsi="Open Sans" w:cs="Times New Roman"/>
          <w:color w:val="444444"/>
          <w:sz w:val="24"/>
          <w:szCs w:val="24"/>
          <w:lang w:eastAsia="es-AR"/>
        </w:rPr>
        <w:t xml:space="preserve"> Respiratorio (VSR), históricamente asociado a la pediatría, ha sido identificado como</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una amenaza significativa para los adultos mayores y personas con condiciones de riesgo.</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Debido a que la inmunidad natural tras una infección es incompleta y de corta duración, las re</w:t>
      </w:r>
      <w:r>
        <w:rPr>
          <w:rFonts w:ascii="Open Sans" w:eastAsia="Times New Roman" w:hAnsi="Open Sans" w:cs="Times New Roman"/>
          <w:color w:val="444444"/>
          <w:sz w:val="24"/>
          <w:szCs w:val="24"/>
          <w:lang w:eastAsia="es-AR"/>
        </w:rPr>
        <w:t>-</w:t>
      </w:r>
      <w:r w:rsidRPr="008E7709">
        <w:rPr>
          <w:rFonts w:ascii="Open Sans" w:eastAsia="Times New Roman" w:hAnsi="Open Sans" w:cs="Times New Roman"/>
          <w:color w:val="444444"/>
          <w:sz w:val="24"/>
          <w:szCs w:val="24"/>
          <w:lang w:eastAsia="es-AR"/>
        </w:rPr>
        <w:t>infecciones son comunes a lo largo de la vida y genera infecciones respiratorias potencialmente graves</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en las edades extremas de la vida, por inmadurez inmunológica en recién nacidos y por</w:t>
      </w:r>
      <w:r>
        <w:rPr>
          <w:rFonts w:ascii="Open Sans" w:eastAsia="Times New Roman" w:hAnsi="Open Sans" w:cs="Times New Roman"/>
          <w:color w:val="444444"/>
          <w:sz w:val="24"/>
          <w:szCs w:val="24"/>
          <w:lang w:eastAsia="es-AR"/>
        </w:rPr>
        <w:t xml:space="preserve"> </w:t>
      </w:r>
      <w:proofErr w:type="spellStart"/>
      <w:r w:rsidRPr="008E7709">
        <w:rPr>
          <w:rFonts w:ascii="Open Sans" w:eastAsia="Times New Roman" w:hAnsi="Open Sans" w:cs="Times New Roman"/>
          <w:color w:val="444444"/>
          <w:sz w:val="24"/>
          <w:szCs w:val="24"/>
          <w:lang w:eastAsia="es-AR"/>
        </w:rPr>
        <w:t>inmunosenescencia</w:t>
      </w:r>
      <w:proofErr w:type="spellEnd"/>
      <w:r w:rsidRPr="008E7709">
        <w:rPr>
          <w:rFonts w:ascii="Open Sans" w:eastAsia="Times New Roman" w:hAnsi="Open Sans" w:cs="Times New Roman"/>
          <w:color w:val="444444"/>
          <w:sz w:val="24"/>
          <w:szCs w:val="24"/>
          <w:lang w:eastAsia="es-AR"/>
        </w:rPr>
        <w:t xml:space="preserve"> en adultos mayores. La estrategia de vacunación no solo se enfoca en la protección</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directa del adulto mayor de 60 años, sino que se ha extendido a adultos jóvenes (desde los 18 a 59</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 xml:space="preserve">años) con comorbilidades como diabetes, enfermedades cardiovasculares o </w:t>
      </w:r>
      <w:proofErr w:type="spellStart"/>
      <w:r w:rsidRPr="008E7709">
        <w:rPr>
          <w:rFonts w:ascii="Open Sans" w:eastAsia="Times New Roman" w:hAnsi="Open Sans" w:cs="Times New Roman"/>
          <w:color w:val="444444"/>
          <w:sz w:val="24"/>
          <w:szCs w:val="24"/>
          <w:lang w:eastAsia="es-AR"/>
        </w:rPr>
        <w:t>inmunocompromiso</w:t>
      </w:r>
      <w:proofErr w:type="spellEnd"/>
      <w:r w:rsidRPr="008E7709">
        <w:rPr>
          <w:rFonts w:ascii="Open Sans" w:eastAsia="Times New Roman" w:hAnsi="Open Sans" w:cs="Times New Roman"/>
          <w:color w:val="444444"/>
          <w:sz w:val="24"/>
          <w:szCs w:val="24"/>
          <w:lang w:eastAsia="es-AR"/>
        </w:rPr>
        <w:t>.</w:t>
      </w:r>
      <w:r>
        <w:rPr>
          <w:rFonts w:ascii="Open Sans" w:eastAsia="Times New Roman" w:hAnsi="Open Sans" w:cs="Times New Roman"/>
          <w:color w:val="444444"/>
          <w:sz w:val="24"/>
          <w:szCs w:val="24"/>
          <w:lang w:eastAsia="es-AR"/>
        </w:rPr>
        <w:t xml:space="preserve"> </w:t>
      </w:r>
    </w:p>
    <w:p w:rsidR="008E7709" w:rsidRDefault="008E7709" w:rsidP="00AB0BA5">
      <w:pPr>
        <w:shd w:val="clear" w:color="auto" w:fill="FFFFFF"/>
        <w:spacing w:after="0" w:line="240" w:lineRule="auto"/>
        <w:ind w:firstLine="708"/>
        <w:jc w:val="both"/>
        <w:textAlignment w:val="baseline"/>
        <w:rPr>
          <w:rFonts w:ascii="Open Sans" w:eastAsia="Times New Roman" w:hAnsi="Open Sans" w:cs="Times New Roman"/>
          <w:color w:val="444444"/>
          <w:sz w:val="24"/>
          <w:szCs w:val="24"/>
          <w:lang w:eastAsia="es-AR"/>
        </w:rPr>
      </w:pPr>
    </w:p>
    <w:p w:rsidR="008E7709" w:rsidRDefault="008E7709" w:rsidP="00AB0BA5">
      <w:pPr>
        <w:shd w:val="clear" w:color="auto" w:fill="FFFFFF"/>
        <w:spacing w:after="0" w:line="240" w:lineRule="auto"/>
        <w:ind w:firstLine="708"/>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Sobre 4.098 muestras estudiadas en las UMA en 2025, 195 resultaron positivas para VSR, con un</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porcentaje de positividad acumulado de 4,76%. Las IRAG por VSR, los porcentajes de positividad más</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elevados se registran en menores de 1 año, 1 año y 2 a 4 años1.La situación epidemiológica por virus respiratorios durante el 2025 en la provincia de Córdoba,</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Argentina, registró 3.858 muestras positivas en personas internadas (de todas las edades), lo cual</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representó un 13,4% menos (N=599) que el año 2024 (N=4.457). Tanto en 2024 como en 2025 el agente</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 xml:space="preserve">más registrado fue el VSR (50,6% en 2025 vs 45,4% en 2024), seguido por </w:t>
      </w:r>
      <w:r w:rsidRPr="008E7709">
        <w:rPr>
          <w:rFonts w:ascii="Open Sans" w:eastAsia="Times New Roman" w:hAnsi="Open Sans" w:cs="Times New Roman"/>
          <w:color w:val="444444"/>
          <w:sz w:val="24"/>
          <w:szCs w:val="24"/>
          <w:lang w:eastAsia="es-AR"/>
        </w:rPr>
        <w:lastRenderedPageBreak/>
        <w:t>influenza (32,0% en 2025 vs</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28,2% en 2024), mientras que el SARS-CoV-2 se detectó en el 7% de las muestras en 2025.</w:t>
      </w:r>
      <w:r>
        <w:rPr>
          <w:rFonts w:ascii="Open Sans" w:eastAsia="Times New Roman" w:hAnsi="Open Sans" w:cs="Times New Roman"/>
          <w:color w:val="444444"/>
          <w:sz w:val="24"/>
          <w:szCs w:val="24"/>
          <w:lang w:eastAsia="es-AR"/>
        </w:rPr>
        <w:t xml:space="preserve"> </w:t>
      </w:r>
    </w:p>
    <w:p w:rsidR="008E7709" w:rsidRDefault="008E7709" w:rsidP="00AB0BA5">
      <w:pPr>
        <w:shd w:val="clear" w:color="auto" w:fill="FFFFFF"/>
        <w:spacing w:after="0" w:line="240" w:lineRule="auto"/>
        <w:ind w:firstLine="708"/>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La elaboración del presente documento responde a la necesidad de fortalecer el conocimiento y la</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conciencia en torno a la importancia de la inmunización como una de las estrategias más eficaces en la</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prevención de enfermedades transmisibles.</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En el contexto actual, caracterizado por la disminución de las coberturas de vacunación en ciertos</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sectores de la población, resulta imprescindible disponer de información clara, basada en evidencia</w:t>
      </w:r>
      <w:r w:rsidRPr="008E7709">
        <w:rPr>
          <w:rFonts w:ascii="Open Sans" w:eastAsia="Times New Roman" w:hAnsi="Open Sans" w:cs="Times New Roman"/>
          <w:color w:val="444444"/>
          <w:sz w:val="24"/>
          <w:szCs w:val="24"/>
          <w:lang w:eastAsia="es-AR"/>
        </w:rPr>
        <w:br/>
        <w:t>científica. Este documento busca no solo informar, sino también promover la toma de decisiones</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responsables y fundamentadas respecto a la vacunación.</w:t>
      </w:r>
    </w:p>
    <w:p w:rsidR="008E7709" w:rsidRPr="008E7709" w:rsidRDefault="008E7709" w:rsidP="00AB0BA5">
      <w:pPr>
        <w:shd w:val="clear" w:color="auto" w:fill="FFFFFF"/>
        <w:spacing w:after="0" w:line="240" w:lineRule="auto"/>
        <w:ind w:firstLine="708"/>
        <w:jc w:val="both"/>
        <w:textAlignment w:val="baseline"/>
        <w:rPr>
          <w:rFonts w:ascii="Open Sans" w:eastAsia="Times New Roman" w:hAnsi="Open Sans" w:cs="Times New Roman"/>
          <w:color w:val="444444"/>
          <w:sz w:val="24"/>
          <w:szCs w:val="24"/>
          <w:lang w:eastAsia="es-AR"/>
        </w:rPr>
      </w:pPr>
    </w:p>
    <w:p w:rsidR="008E7709" w:rsidRPr="008E7709" w:rsidRDefault="008E7709" w:rsidP="00AB0BA5">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r w:rsidRPr="008E7709">
        <w:rPr>
          <w:rFonts w:ascii="inherit" w:eastAsia="Times New Roman" w:hAnsi="inherit" w:cs="Times New Roman"/>
          <w:b/>
          <w:bCs/>
          <w:color w:val="444444"/>
          <w:sz w:val="21"/>
          <w:szCs w:val="21"/>
          <w:bdr w:val="none" w:sz="0" w:space="0" w:color="auto" w:frame="1"/>
          <w:lang w:eastAsia="es-AR"/>
        </w:rPr>
        <w:t>Objetivos</w:t>
      </w:r>
      <w:r w:rsidRPr="008E7709">
        <w:rPr>
          <w:rFonts w:ascii="Open Sans" w:eastAsia="Times New Roman" w:hAnsi="Open Sans" w:cs="Times New Roman"/>
          <w:color w:val="444444"/>
          <w:sz w:val="24"/>
          <w:szCs w:val="24"/>
          <w:lang w:eastAsia="es-AR"/>
        </w:rPr>
        <w:br/>
        <w:t>Establecer recomendaciones consensuadas sobre vacunación contra virus respiratorios en adultos</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 xml:space="preserve">como una estrategia para evitar Infección Respiratoria Aguda Grave, </w:t>
      </w:r>
      <w:r>
        <w:rPr>
          <w:rFonts w:ascii="Open Sans" w:eastAsia="Times New Roman" w:hAnsi="Open Sans" w:cs="Times New Roman"/>
          <w:color w:val="444444"/>
          <w:sz w:val="24"/>
          <w:szCs w:val="24"/>
          <w:lang w:eastAsia="es-AR"/>
        </w:rPr>
        <w:t xml:space="preserve"> H</w:t>
      </w:r>
      <w:r w:rsidRPr="008E7709">
        <w:rPr>
          <w:rFonts w:ascii="Open Sans" w:eastAsia="Times New Roman" w:hAnsi="Open Sans" w:cs="Times New Roman"/>
          <w:color w:val="444444"/>
          <w:sz w:val="24"/>
          <w:szCs w:val="24"/>
          <w:lang w:eastAsia="es-AR"/>
        </w:rPr>
        <w:t>ospitalizaciones y mortalidad y</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 xml:space="preserve">mejorar la cobertura </w:t>
      </w:r>
      <w:proofErr w:type="spellStart"/>
      <w:r w:rsidRPr="008E7709">
        <w:rPr>
          <w:rFonts w:ascii="Open Sans" w:eastAsia="Times New Roman" w:hAnsi="Open Sans" w:cs="Times New Roman"/>
          <w:color w:val="444444"/>
          <w:sz w:val="24"/>
          <w:szCs w:val="24"/>
          <w:lang w:eastAsia="es-AR"/>
        </w:rPr>
        <w:t>vacunal</w:t>
      </w:r>
      <w:proofErr w:type="spellEnd"/>
      <w:r w:rsidRPr="008E7709">
        <w:rPr>
          <w:rFonts w:ascii="Open Sans" w:eastAsia="Times New Roman" w:hAnsi="Open Sans" w:cs="Times New Roman"/>
          <w:color w:val="444444"/>
          <w:sz w:val="24"/>
          <w:szCs w:val="24"/>
          <w:lang w:eastAsia="es-AR"/>
        </w:rPr>
        <w:t>.</w:t>
      </w:r>
    </w:p>
    <w:p w:rsidR="008E7709" w:rsidRPr="008E7709" w:rsidRDefault="008E7709" w:rsidP="00AB0BA5">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br/>
      </w:r>
      <w:r w:rsidRPr="008E7709">
        <w:rPr>
          <w:rFonts w:ascii="inherit" w:eastAsia="Times New Roman" w:hAnsi="inherit" w:cs="Times New Roman"/>
          <w:b/>
          <w:bCs/>
          <w:color w:val="444444"/>
          <w:sz w:val="21"/>
          <w:szCs w:val="21"/>
          <w:bdr w:val="none" w:sz="0" w:space="0" w:color="auto" w:frame="1"/>
          <w:lang w:eastAsia="es-AR"/>
        </w:rPr>
        <w:t>Metodología</w:t>
      </w:r>
      <w:r w:rsidRPr="008E7709">
        <w:rPr>
          <w:rFonts w:ascii="Open Sans" w:eastAsia="Times New Roman" w:hAnsi="Open Sans" w:cs="Times New Roman"/>
          <w:color w:val="444444"/>
          <w:sz w:val="24"/>
          <w:szCs w:val="24"/>
          <w:lang w:eastAsia="es-AR"/>
        </w:rPr>
        <w:br/>
        <w:t>Documento elaborado por comité redactor con revisión estructurada de la evidencia y validación por</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expertos.</w:t>
      </w:r>
    </w:p>
    <w:p w:rsidR="00731FDA" w:rsidRDefault="008E7709" w:rsidP="00AB0BA5">
      <w:pPr>
        <w:shd w:val="clear" w:color="auto" w:fill="FFFFFF"/>
        <w:spacing w:after="0" w:line="240" w:lineRule="auto"/>
        <w:jc w:val="both"/>
        <w:textAlignment w:val="baseline"/>
        <w:rPr>
          <w:rFonts w:ascii="inherit" w:eastAsia="Times New Roman" w:hAnsi="inherit" w:cs="Times New Roman"/>
          <w:b/>
          <w:bCs/>
          <w:color w:val="444444"/>
          <w:sz w:val="21"/>
          <w:szCs w:val="21"/>
          <w:bdr w:val="none" w:sz="0" w:space="0" w:color="auto" w:frame="1"/>
          <w:lang w:eastAsia="es-AR"/>
        </w:rPr>
      </w:pPr>
      <w:r w:rsidRPr="008E7709">
        <w:rPr>
          <w:rFonts w:ascii="Open Sans" w:eastAsia="Times New Roman" w:hAnsi="Open Sans" w:cs="Times New Roman"/>
          <w:color w:val="444444"/>
          <w:sz w:val="24"/>
          <w:szCs w:val="24"/>
          <w:lang w:eastAsia="es-AR"/>
        </w:rPr>
        <w:br/>
      </w:r>
      <w:r w:rsidRPr="008E7709">
        <w:rPr>
          <w:rFonts w:ascii="inherit" w:eastAsia="Times New Roman" w:hAnsi="inherit" w:cs="Times New Roman"/>
          <w:b/>
          <w:bCs/>
          <w:color w:val="444444"/>
          <w:sz w:val="21"/>
          <w:szCs w:val="21"/>
          <w:bdr w:val="none" w:sz="0" w:space="0" w:color="auto" w:frame="1"/>
          <w:lang w:eastAsia="es-AR"/>
        </w:rPr>
        <w:t>Puntos Clave</w:t>
      </w:r>
    </w:p>
    <w:p w:rsidR="00AB0BA5" w:rsidRDefault="008E7709" w:rsidP="00AB0BA5">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 Las infecciones respiratorias causan infecciones graves con requerimiento de hospitalización en</w:t>
      </w:r>
      <w:r>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adultos.</w:t>
      </w:r>
    </w:p>
    <w:p w:rsidR="00AB0BA5" w:rsidRDefault="008E7709" w:rsidP="00AB0BA5">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 La vacunación reduce la morbimortalidad.</w:t>
      </w:r>
    </w:p>
    <w:p w:rsidR="00AB0BA5" w:rsidRDefault="008E7709" w:rsidP="00AB0BA5">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 Influenza, SARS-CoV-2 y VSR son prioritarios, las vacunas están compuestas por agentes</w:t>
      </w:r>
      <w:r w:rsidRPr="008E7709">
        <w:rPr>
          <w:rFonts w:ascii="Open Sans" w:eastAsia="Times New Roman" w:hAnsi="Open Sans" w:cs="Times New Roman"/>
          <w:color w:val="444444"/>
          <w:sz w:val="24"/>
          <w:szCs w:val="24"/>
          <w:lang w:eastAsia="es-AR"/>
        </w:rPr>
        <w:br/>
        <w:t xml:space="preserve">inactivos, por lo cual no se replican en el organismo, no causa enfermedad </w:t>
      </w:r>
      <w:proofErr w:type="spellStart"/>
      <w:r w:rsidRPr="008E7709">
        <w:rPr>
          <w:rFonts w:ascii="Open Sans" w:eastAsia="Times New Roman" w:hAnsi="Open Sans" w:cs="Times New Roman"/>
          <w:color w:val="444444"/>
          <w:sz w:val="24"/>
          <w:szCs w:val="24"/>
          <w:lang w:eastAsia="es-AR"/>
        </w:rPr>
        <w:t>posvacunal</w:t>
      </w:r>
      <w:proofErr w:type="spellEnd"/>
      <w:r w:rsidRPr="008E7709">
        <w:rPr>
          <w:rFonts w:ascii="Open Sans" w:eastAsia="Times New Roman" w:hAnsi="Open Sans" w:cs="Times New Roman"/>
          <w:color w:val="444444"/>
          <w:sz w:val="24"/>
          <w:szCs w:val="24"/>
          <w:lang w:eastAsia="es-AR"/>
        </w:rPr>
        <w:t xml:space="preserve"> y su</w:t>
      </w:r>
      <w:r w:rsidRPr="008E7709">
        <w:rPr>
          <w:rFonts w:ascii="Open Sans" w:eastAsia="Times New Roman" w:hAnsi="Open Sans" w:cs="Times New Roman"/>
          <w:color w:val="444444"/>
          <w:sz w:val="24"/>
          <w:szCs w:val="24"/>
          <w:lang w:eastAsia="es-AR"/>
        </w:rPr>
        <w:br/>
        <w:t>administración es segura incluso en inmunocomprometidos.</w:t>
      </w:r>
    </w:p>
    <w:p w:rsidR="008E7709" w:rsidRDefault="008E7709" w:rsidP="00AB0BA5">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 xml:space="preserve">● La </w:t>
      </w:r>
      <w:proofErr w:type="spellStart"/>
      <w:r w:rsidRPr="008E7709">
        <w:rPr>
          <w:rFonts w:ascii="Open Sans" w:eastAsia="Times New Roman" w:hAnsi="Open Sans" w:cs="Times New Roman"/>
          <w:color w:val="444444"/>
          <w:sz w:val="24"/>
          <w:szCs w:val="24"/>
          <w:lang w:eastAsia="es-AR"/>
        </w:rPr>
        <w:t>co</w:t>
      </w:r>
      <w:proofErr w:type="spellEnd"/>
      <w:r w:rsidRPr="008E7709">
        <w:rPr>
          <w:rFonts w:ascii="Open Sans" w:eastAsia="Times New Roman" w:hAnsi="Open Sans" w:cs="Times New Roman"/>
          <w:color w:val="444444"/>
          <w:sz w:val="24"/>
          <w:szCs w:val="24"/>
          <w:lang w:eastAsia="es-AR"/>
        </w:rPr>
        <w:t>-administración de las 3 vacunas es segura.</w:t>
      </w:r>
    </w:p>
    <w:p w:rsidR="008E7709" w:rsidRPr="008E7709" w:rsidRDefault="008E7709" w:rsidP="00AB0BA5">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p>
    <w:p w:rsidR="00AB0BA5" w:rsidRDefault="008E7709" w:rsidP="00AB0BA5">
      <w:pPr>
        <w:shd w:val="clear" w:color="auto" w:fill="FFFFFF"/>
        <w:spacing w:after="0" w:line="240" w:lineRule="auto"/>
        <w:jc w:val="both"/>
        <w:textAlignment w:val="baseline"/>
        <w:rPr>
          <w:rFonts w:ascii="inherit" w:eastAsia="Times New Roman" w:hAnsi="inherit" w:cs="Times New Roman"/>
          <w:b/>
          <w:bCs/>
          <w:color w:val="444444"/>
          <w:sz w:val="21"/>
          <w:szCs w:val="21"/>
          <w:bdr w:val="none" w:sz="0" w:space="0" w:color="auto" w:frame="1"/>
          <w:lang w:eastAsia="es-AR"/>
        </w:rPr>
      </w:pPr>
      <w:r w:rsidRPr="008E7709">
        <w:rPr>
          <w:rFonts w:ascii="inherit" w:eastAsia="Times New Roman" w:hAnsi="inherit" w:cs="Times New Roman"/>
          <w:b/>
          <w:bCs/>
          <w:color w:val="444444"/>
          <w:sz w:val="21"/>
          <w:szCs w:val="21"/>
          <w:bdr w:val="none" w:sz="0" w:space="0" w:color="auto" w:frame="1"/>
          <w:lang w:eastAsia="es-AR"/>
        </w:rPr>
        <w:t>VACUNA INFLUENZA</w:t>
      </w:r>
    </w:p>
    <w:p w:rsidR="008E7709" w:rsidRPr="008E7709" w:rsidRDefault="008E7709" w:rsidP="00AB0BA5">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r w:rsidRPr="008E7709">
        <w:rPr>
          <w:rFonts w:ascii="inherit" w:eastAsia="Times New Roman" w:hAnsi="inherit" w:cs="Times New Roman"/>
          <w:b/>
          <w:bCs/>
          <w:color w:val="444444"/>
          <w:sz w:val="21"/>
          <w:szCs w:val="21"/>
          <w:bdr w:val="none" w:sz="0" w:space="0" w:color="auto" w:frame="1"/>
          <w:lang w:eastAsia="es-AR"/>
        </w:rPr>
        <w:t>Vacuna trivalente inactivada</w:t>
      </w:r>
      <w:r w:rsidRPr="008E7709">
        <w:rPr>
          <w:rFonts w:ascii="Open Sans" w:eastAsia="Times New Roman" w:hAnsi="Open Sans" w:cs="Times New Roman"/>
          <w:color w:val="444444"/>
          <w:sz w:val="24"/>
          <w:szCs w:val="24"/>
          <w:lang w:eastAsia="es-AR"/>
        </w:rPr>
        <w:t>: Antígenos de superficie de virus de la gripe (</w:t>
      </w:r>
      <w:proofErr w:type="spellStart"/>
      <w:r w:rsidRPr="008E7709">
        <w:rPr>
          <w:rFonts w:ascii="Open Sans" w:eastAsia="Times New Roman" w:hAnsi="Open Sans" w:cs="Times New Roman"/>
          <w:color w:val="444444"/>
          <w:sz w:val="24"/>
          <w:szCs w:val="24"/>
          <w:lang w:eastAsia="es-AR"/>
        </w:rPr>
        <w:t>hemaglutinina</w:t>
      </w:r>
      <w:proofErr w:type="spellEnd"/>
      <w:r w:rsidRPr="008E7709">
        <w:rPr>
          <w:rFonts w:ascii="Open Sans" w:eastAsia="Times New Roman" w:hAnsi="Open Sans" w:cs="Times New Roman"/>
          <w:color w:val="444444"/>
          <w:sz w:val="24"/>
          <w:szCs w:val="24"/>
          <w:lang w:eastAsia="es-AR"/>
        </w:rPr>
        <w:t xml:space="preserve"> y </w:t>
      </w:r>
      <w:proofErr w:type="spellStart"/>
      <w:r w:rsidRPr="008E7709">
        <w:rPr>
          <w:rFonts w:ascii="Open Sans" w:eastAsia="Times New Roman" w:hAnsi="Open Sans" w:cs="Times New Roman"/>
          <w:color w:val="444444"/>
          <w:sz w:val="24"/>
          <w:szCs w:val="24"/>
          <w:lang w:eastAsia="es-AR"/>
        </w:rPr>
        <w:t>neuraminidasa</w:t>
      </w:r>
      <w:proofErr w:type="spellEnd"/>
      <w:r w:rsidRPr="008E7709">
        <w:rPr>
          <w:rFonts w:ascii="Open Sans" w:eastAsia="Times New Roman" w:hAnsi="Open Sans" w:cs="Times New Roman"/>
          <w:color w:val="444444"/>
          <w:sz w:val="24"/>
          <w:szCs w:val="24"/>
          <w:lang w:eastAsia="es-AR"/>
        </w:rPr>
        <w:t xml:space="preserve">) cultivados en huevos fertilizados de gallinas sanas e </w:t>
      </w:r>
      <w:proofErr w:type="gramStart"/>
      <w:r w:rsidRPr="008E7709">
        <w:rPr>
          <w:rFonts w:ascii="Open Sans" w:eastAsia="Times New Roman" w:hAnsi="Open Sans" w:cs="Times New Roman"/>
          <w:color w:val="444444"/>
          <w:sz w:val="24"/>
          <w:szCs w:val="24"/>
          <w:lang w:eastAsia="es-AR"/>
        </w:rPr>
        <w:t>inactivados</w:t>
      </w:r>
      <w:proofErr w:type="gramEnd"/>
      <w:r w:rsidRPr="008E7709">
        <w:rPr>
          <w:rFonts w:ascii="Open Sans" w:eastAsia="Times New Roman" w:hAnsi="Open Sans" w:cs="Times New Roman"/>
          <w:color w:val="444444"/>
          <w:sz w:val="24"/>
          <w:szCs w:val="24"/>
          <w:lang w:eastAsia="es-AR"/>
        </w:rPr>
        <w:t xml:space="preserve"> con formaldehido.</w:t>
      </w:r>
      <w:r w:rsidRPr="008E7709">
        <w:rPr>
          <w:rFonts w:ascii="Open Sans" w:eastAsia="Times New Roman" w:hAnsi="Open Sans" w:cs="Times New Roman"/>
          <w:color w:val="444444"/>
          <w:sz w:val="24"/>
          <w:szCs w:val="24"/>
          <w:lang w:eastAsia="es-AR"/>
        </w:rPr>
        <w:br/>
      </w:r>
      <w:r w:rsidRPr="008E7709">
        <w:rPr>
          <w:rFonts w:ascii="inherit" w:eastAsia="Times New Roman" w:hAnsi="inherit" w:cs="Times New Roman"/>
          <w:b/>
          <w:bCs/>
          <w:color w:val="444444"/>
          <w:sz w:val="21"/>
          <w:szCs w:val="21"/>
          <w:bdr w:val="none" w:sz="0" w:space="0" w:color="auto" w:frame="1"/>
          <w:lang w:eastAsia="es-AR"/>
        </w:rPr>
        <w:t xml:space="preserve">Vacuna trivalente </w:t>
      </w:r>
      <w:proofErr w:type="spellStart"/>
      <w:r w:rsidRPr="008E7709">
        <w:rPr>
          <w:rFonts w:ascii="inherit" w:eastAsia="Times New Roman" w:hAnsi="inherit" w:cs="Times New Roman"/>
          <w:b/>
          <w:bCs/>
          <w:color w:val="444444"/>
          <w:sz w:val="21"/>
          <w:szCs w:val="21"/>
          <w:bdr w:val="none" w:sz="0" w:space="0" w:color="auto" w:frame="1"/>
          <w:lang w:eastAsia="es-AR"/>
        </w:rPr>
        <w:t>adyuvantada</w:t>
      </w:r>
      <w:proofErr w:type="spellEnd"/>
      <w:r w:rsidRPr="008E7709">
        <w:rPr>
          <w:rFonts w:ascii="Open Sans" w:eastAsia="Times New Roman" w:hAnsi="Open Sans" w:cs="Times New Roman"/>
          <w:color w:val="444444"/>
          <w:sz w:val="24"/>
          <w:szCs w:val="24"/>
          <w:lang w:eastAsia="es-AR"/>
        </w:rPr>
        <w:t>: Antígenos de superficie de virus de la gripe (</w:t>
      </w:r>
      <w:proofErr w:type="spellStart"/>
      <w:r w:rsidRPr="008E7709">
        <w:rPr>
          <w:rFonts w:ascii="Open Sans" w:eastAsia="Times New Roman" w:hAnsi="Open Sans" w:cs="Times New Roman"/>
          <w:color w:val="444444"/>
          <w:sz w:val="24"/>
          <w:szCs w:val="24"/>
          <w:lang w:eastAsia="es-AR"/>
        </w:rPr>
        <w:t>hemaglutinina</w:t>
      </w:r>
      <w:proofErr w:type="spellEnd"/>
      <w:r w:rsidRPr="008E7709">
        <w:rPr>
          <w:rFonts w:ascii="Open Sans" w:eastAsia="Times New Roman" w:hAnsi="Open Sans" w:cs="Times New Roman"/>
          <w:color w:val="444444"/>
          <w:sz w:val="24"/>
          <w:szCs w:val="24"/>
          <w:lang w:eastAsia="es-AR"/>
        </w:rPr>
        <w:t xml:space="preserve"> y </w:t>
      </w:r>
      <w:proofErr w:type="spellStart"/>
      <w:r w:rsidRPr="008E7709">
        <w:rPr>
          <w:rFonts w:ascii="Open Sans" w:eastAsia="Times New Roman" w:hAnsi="Open Sans" w:cs="Times New Roman"/>
          <w:color w:val="444444"/>
          <w:sz w:val="24"/>
          <w:szCs w:val="24"/>
          <w:lang w:eastAsia="es-AR"/>
        </w:rPr>
        <w:t>neuraminidasa</w:t>
      </w:r>
      <w:proofErr w:type="spellEnd"/>
      <w:r w:rsidRPr="008E7709">
        <w:rPr>
          <w:rFonts w:ascii="Open Sans" w:eastAsia="Times New Roman" w:hAnsi="Open Sans" w:cs="Times New Roman"/>
          <w:color w:val="444444"/>
          <w:sz w:val="24"/>
          <w:szCs w:val="24"/>
          <w:lang w:eastAsia="es-AR"/>
        </w:rPr>
        <w:t>) cultivados en huevos fertilizados de gallinas sanas, con adyuvante MF59C.1</w:t>
      </w:r>
      <w:r w:rsidRPr="008E7709">
        <w:rPr>
          <w:rFonts w:ascii="Open Sans" w:eastAsia="Times New Roman" w:hAnsi="Open Sans" w:cs="Times New Roman"/>
          <w:color w:val="444444"/>
          <w:sz w:val="24"/>
          <w:szCs w:val="24"/>
          <w:lang w:eastAsia="es-AR"/>
        </w:rPr>
        <w:br/>
        <w:t>El comité asesor sobre la composición de la vacuna contra influenza de la OMS recomendó en septiembre del 2025 la siguiente composición trivalente actualizada de la vacuna para el hemisferio sur 2026:</w:t>
      </w:r>
    </w:p>
    <w:p w:rsidR="008E7709" w:rsidRPr="008E7709" w:rsidRDefault="008E7709" w:rsidP="00AB0BA5">
      <w:pPr>
        <w:shd w:val="clear" w:color="auto" w:fill="FFFFFF"/>
        <w:spacing w:after="360" w:line="240" w:lineRule="auto"/>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 xml:space="preserve">Vacunas producidas en huevos </w:t>
      </w:r>
      <w:proofErr w:type="spellStart"/>
      <w:r w:rsidRPr="008E7709">
        <w:rPr>
          <w:rFonts w:ascii="Open Sans" w:eastAsia="Times New Roman" w:hAnsi="Open Sans" w:cs="Times New Roman"/>
          <w:color w:val="444444"/>
          <w:sz w:val="24"/>
          <w:szCs w:val="24"/>
          <w:lang w:eastAsia="es-AR"/>
        </w:rPr>
        <w:t>embrionados</w:t>
      </w:r>
      <w:proofErr w:type="spellEnd"/>
      <w:r w:rsidRPr="008E7709">
        <w:rPr>
          <w:rFonts w:ascii="Open Sans" w:eastAsia="Times New Roman" w:hAnsi="Open Sans" w:cs="Times New Roman"/>
          <w:color w:val="444444"/>
          <w:sz w:val="24"/>
          <w:szCs w:val="24"/>
          <w:lang w:eastAsia="es-AR"/>
        </w:rPr>
        <w:t xml:space="preserve"> que contengan:</w:t>
      </w:r>
    </w:p>
    <w:p w:rsidR="008E7709" w:rsidRPr="008E7709" w:rsidRDefault="008E7709" w:rsidP="00AB0BA5">
      <w:pPr>
        <w:numPr>
          <w:ilvl w:val="0"/>
          <w:numId w:val="2"/>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es-AR"/>
        </w:rPr>
      </w:pPr>
      <w:r w:rsidRPr="008E7709">
        <w:rPr>
          <w:rFonts w:ascii="inherit" w:eastAsia="Times New Roman" w:hAnsi="inherit" w:cs="Times New Roman"/>
          <w:color w:val="444444"/>
          <w:sz w:val="24"/>
          <w:szCs w:val="24"/>
          <w:lang w:eastAsia="es-AR"/>
        </w:rPr>
        <w:t>Una cepa del virus A/Missouri/11/2025 (H1N1)pdm09-like;</w:t>
      </w:r>
    </w:p>
    <w:p w:rsidR="008E7709" w:rsidRPr="008E7709" w:rsidRDefault="008E7709" w:rsidP="00AB0BA5">
      <w:pPr>
        <w:numPr>
          <w:ilvl w:val="0"/>
          <w:numId w:val="2"/>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es-AR"/>
        </w:rPr>
      </w:pPr>
      <w:r w:rsidRPr="008E7709">
        <w:rPr>
          <w:rFonts w:ascii="inherit" w:eastAsia="Times New Roman" w:hAnsi="inherit" w:cs="Times New Roman"/>
          <w:color w:val="444444"/>
          <w:sz w:val="24"/>
          <w:szCs w:val="24"/>
          <w:lang w:eastAsia="es-AR"/>
        </w:rPr>
        <w:t>Una cepa del virus A/</w:t>
      </w:r>
      <w:proofErr w:type="spellStart"/>
      <w:r w:rsidRPr="008E7709">
        <w:rPr>
          <w:rFonts w:ascii="inherit" w:eastAsia="Times New Roman" w:hAnsi="inherit" w:cs="Times New Roman"/>
          <w:color w:val="444444"/>
          <w:sz w:val="24"/>
          <w:szCs w:val="24"/>
          <w:lang w:eastAsia="es-AR"/>
        </w:rPr>
        <w:t>Singapore</w:t>
      </w:r>
      <w:proofErr w:type="spellEnd"/>
      <w:r w:rsidRPr="008E7709">
        <w:rPr>
          <w:rFonts w:ascii="inherit" w:eastAsia="Times New Roman" w:hAnsi="inherit" w:cs="Times New Roman"/>
          <w:color w:val="444444"/>
          <w:sz w:val="24"/>
          <w:szCs w:val="24"/>
          <w:lang w:eastAsia="es-AR"/>
        </w:rPr>
        <w:t>/GP20238/2024 (H3N2)-</w:t>
      </w:r>
      <w:proofErr w:type="spellStart"/>
      <w:r w:rsidRPr="008E7709">
        <w:rPr>
          <w:rFonts w:ascii="inherit" w:eastAsia="Times New Roman" w:hAnsi="inherit" w:cs="Times New Roman"/>
          <w:color w:val="444444"/>
          <w:sz w:val="24"/>
          <w:szCs w:val="24"/>
          <w:lang w:eastAsia="es-AR"/>
        </w:rPr>
        <w:t>like</w:t>
      </w:r>
      <w:proofErr w:type="spellEnd"/>
      <w:r w:rsidRPr="008E7709">
        <w:rPr>
          <w:rFonts w:ascii="inherit" w:eastAsia="Times New Roman" w:hAnsi="inherit" w:cs="Times New Roman"/>
          <w:color w:val="444444"/>
          <w:sz w:val="24"/>
          <w:szCs w:val="24"/>
          <w:lang w:eastAsia="es-AR"/>
        </w:rPr>
        <w:t>; y</w:t>
      </w:r>
    </w:p>
    <w:p w:rsidR="008E7709" w:rsidRPr="008E7709" w:rsidRDefault="008E7709" w:rsidP="00AB0BA5">
      <w:pPr>
        <w:numPr>
          <w:ilvl w:val="0"/>
          <w:numId w:val="2"/>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es-AR"/>
        </w:rPr>
      </w:pPr>
      <w:r w:rsidRPr="008E7709">
        <w:rPr>
          <w:rFonts w:ascii="inherit" w:eastAsia="Times New Roman" w:hAnsi="inherit" w:cs="Times New Roman"/>
          <w:color w:val="444444"/>
          <w:sz w:val="24"/>
          <w:szCs w:val="24"/>
          <w:lang w:eastAsia="es-AR"/>
        </w:rPr>
        <w:t>Una cepa del virus B/Austria/1359417/2021 (B/linaje Victoria)-like3.</w:t>
      </w:r>
    </w:p>
    <w:p w:rsidR="008E7709" w:rsidRPr="008E7709" w:rsidRDefault="008E7709" w:rsidP="00AB0BA5">
      <w:pPr>
        <w:shd w:val="clear" w:color="auto" w:fill="FFFFFF"/>
        <w:spacing w:after="360" w:line="240" w:lineRule="auto"/>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Debido a la ausencia continua de detección de virus del linaje B/Yamagata desde marzo de 2020 a nivel global, el comité asesor sobre la composición de la vacuna contra influenza de la OMS recomienda desde el 2023 la exclusión de este antígeno de la composición de la vacuna</w:t>
      </w:r>
      <w:r w:rsidRPr="008E7709">
        <w:rPr>
          <w:rFonts w:ascii="Open Sans" w:eastAsia="Times New Roman" w:hAnsi="Open Sans" w:cs="Times New Roman"/>
          <w:color w:val="444444"/>
          <w:sz w:val="24"/>
          <w:szCs w:val="24"/>
          <w:vertAlign w:val="superscript"/>
          <w:lang w:eastAsia="es-AR"/>
        </w:rPr>
        <w:t>3</w:t>
      </w:r>
      <w:r w:rsidRPr="008E7709">
        <w:rPr>
          <w:rFonts w:ascii="Open Sans" w:eastAsia="Times New Roman" w:hAnsi="Open Sans" w:cs="Times New Roman"/>
          <w:color w:val="444444"/>
          <w:sz w:val="24"/>
          <w:szCs w:val="24"/>
          <w:lang w:eastAsia="es-AR"/>
        </w:rPr>
        <w:t>.</w:t>
      </w:r>
      <w:r w:rsidRPr="008E7709">
        <w:rPr>
          <w:rFonts w:ascii="Open Sans" w:eastAsia="Times New Roman" w:hAnsi="Open Sans" w:cs="Times New Roman"/>
          <w:color w:val="444444"/>
          <w:sz w:val="24"/>
          <w:szCs w:val="24"/>
          <w:lang w:eastAsia="es-AR"/>
        </w:rPr>
        <w:br/>
        <w:t>Se recomienda vacunación anual en4:</w:t>
      </w:r>
    </w:p>
    <w:p w:rsidR="008E7709" w:rsidRPr="008E7709" w:rsidRDefault="008E7709" w:rsidP="00AB0BA5">
      <w:pPr>
        <w:numPr>
          <w:ilvl w:val="0"/>
          <w:numId w:val="3"/>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es-AR"/>
        </w:rPr>
      </w:pPr>
      <w:r w:rsidRPr="008E7709">
        <w:rPr>
          <w:rFonts w:ascii="inherit" w:eastAsia="Times New Roman" w:hAnsi="inherit" w:cs="Times New Roman"/>
          <w:color w:val="444444"/>
          <w:sz w:val="24"/>
          <w:szCs w:val="24"/>
          <w:lang w:eastAsia="es-AR"/>
        </w:rPr>
        <w:t>Personal de salud y Personal Estratégico (Fuerzas de Seguridad).</w:t>
      </w:r>
    </w:p>
    <w:p w:rsidR="008E7709" w:rsidRPr="008E7709" w:rsidRDefault="008E7709" w:rsidP="00AB0BA5">
      <w:pPr>
        <w:numPr>
          <w:ilvl w:val="0"/>
          <w:numId w:val="3"/>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es-AR"/>
        </w:rPr>
      </w:pPr>
      <w:r w:rsidRPr="008E7709">
        <w:rPr>
          <w:rFonts w:ascii="inherit" w:eastAsia="Times New Roman" w:hAnsi="inherit" w:cs="Times New Roman"/>
          <w:color w:val="444444"/>
          <w:sz w:val="24"/>
          <w:szCs w:val="24"/>
          <w:lang w:eastAsia="es-AR"/>
        </w:rPr>
        <w:t>Embarazadas, en cada embarazo y en cualquier trimestre.</w:t>
      </w:r>
    </w:p>
    <w:p w:rsidR="008E7709" w:rsidRPr="008E7709" w:rsidRDefault="008E7709" w:rsidP="00AB0BA5">
      <w:pPr>
        <w:numPr>
          <w:ilvl w:val="0"/>
          <w:numId w:val="3"/>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es-AR"/>
        </w:rPr>
      </w:pPr>
      <w:r w:rsidRPr="008E7709">
        <w:rPr>
          <w:rFonts w:ascii="inherit" w:eastAsia="Times New Roman" w:hAnsi="inherit" w:cs="Times New Roman"/>
          <w:color w:val="444444"/>
          <w:sz w:val="24"/>
          <w:szCs w:val="24"/>
          <w:lang w:eastAsia="es-AR"/>
        </w:rPr>
        <w:t>Puérperas.</w:t>
      </w:r>
    </w:p>
    <w:p w:rsidR="008E7709" w:rsidRPr="008E7709" w:rsidRDefault="008E7709" w:rsidP="00AB0BA5">
      <w:pPr>
        <w:numPr>
          <w:ilvl w:val="0"/>
          <w:numId w:val="3"/>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es-AR"/>
        </w:rPr>
      </w:pPr>
      <w:r w:rsidRPr="008E7709">
        <w:rPr>
          <w:rFonts w:ascii="inherit" w:eastAsia="Times New Roman" w:hAnsi="inherit" w:cs="Times New Roman"/>
          <w:b/>
          <w:color w:val="444444"/>
          <w:sz w:val="24"/>
          <w:szCs w:val="24"/>
          <w:lang w:eastAsia="es-AR"/>
        </w:rPr>
        <w:lastRenderedPageBreak/>
        <w:t>Niños de 6 a 59 meses</w:t>
      </w:r>
      <w:r w:rsidRPr="008E7709">
        <w:rPr>
          <w:rFonts w:ascii="inherit" w:eastAsia="Times New Roman" w:hAnsi="inherit" w:cs="Times New Roman"/>
          <w:color w:val="444444"/>
          <w:sz w:val="24"/>
          <w:szCs w:val="24"/>
          <w:lang w:eastAsia="es-AR"/>
        </w:rPr>
        <w:t xml:space="preserve"> de edad.</w:t>
      </w:r>
    </w:p>
    <w:p w:rsidR="008E7709" w:rsidRPr="008E7709" w:rsidRDefault="008E7709" w:rsidP="00AB0BA5">
      <w:pPr>
        <w:numPr>
          <w:ilvl w:val="0"/>
          <w:numId w:val="3"/>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es-AR"/>
        </w:rPr>
      </w:pPr>
      <w:r w:rsidRPr="008E7709">
        <w:rPr>
          <w:rFonts w:ascii="inherit" w:eastAsia="Times New Roman" w:hAnsi="inherit" w:cs="Times New Roman"/>
          <w:color w:val="444444"/>
          <w:sz w:val="24"/>
          <w:szCs w:val="24"/>
          <w:lang w:eastAsia="es-AR"/>
        </w:rPr>
        <w:t>Personas ≥ 65 años.</w:t>
      </w:r>
    </w:p>
    <w:p w:rsidR="008E7709" w:rsidRPr="008E7709" w:rsidRDefault="008E7709" w:rsidP="00AB0BA5">
      <w:pPr>
        <w:numPr>
          <w:ilvl w:val="0"/>
          <w:numId w:val="3"/>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es-AR"/>
        </w:rPr>
      </w:pPr>
      <w:r w:rsidRPr="008E7709">
        <w:rPr>
          <w:rFonts w:ascii="inherit" w:eastAsia="Times New Roman" w:hAnsi="inherit" w:cs="Times New Roman"/>
          <w:color w:val="444444"/>
          <w:sz w:val="24"/>
          <w:szCs w:val="24"/>
          <w:lang w:eastAsia="es-AR"/>
        </w:rPr>
        <w:t>Personas con factores de riesgo (enfermedades crónicas</w:t>
      </w:r>
      <w:r w:rsidRPr="008E7709">
        <w:rPr>
          <w:rFonts w:ascii="inherit" w:eastAsia="Times New Roman" w:hAnsi="inherit" w:cs="Times New Roman"/>
          <w:i/>
          <w:iCs/>
          <w:color w:val="444444"/>
          <w:sz w:val="24"/>
          <w:szCs w:val="24"/>
          <w:bdr w:val="none" w:sz="0" w:space="0" w:color="auto" w:frame="1"/>
          <w:lang w:eastAsia="es-AR"/>
        </w:rPr>
        <w:t>, inmunocomprometidos</w:t>
      </w:r>
      <w:r w:rsidRPr="008E7709">
        <w:rPr>
          <w:rFonts w:ascii="inherit" w:eastAsia="Times New Roman" w:hAnsi="inherit" w:cs="Times New Roman"/>
          <w:color w:val="444444"/>
          <w:sz w:val="24"/>
          <w:szCs w:val="24"/>
          <w:lang w:eastAsia="es-AR"/>
        </w:rPr>
        <w:t xml:space="preserve">*, </w:t>
      </w:r>
      <w:r w:rsidRPr="008E7709">
        <w:rPr>
          <w:rFonts w:ascii="inherit" w:eastAsia="Times New Roman" w:hAnsi="inherit" w:cs="Times New Roman"/>
          <w:b/>
          <w:color w:val="444444"/>
          <w:sz w:val="24"/>
          <w:szCs w:val="24"/>
          <w:lang w:eastAsia="es-AR"/>
        </w:rPr>
        <w:t>Anexo 1</w:t>
      </w:r>
      <w:r w:rsidRPr="008E7709">
        <w:rPr>
          <w:rFonts w:ascii="inherit" w:eastAsia="Times New Roman" w:hAnsi="inherit" w:cs="Times New Roman"/>
          <w:color w:val="444444"/>
          <w:sz w:val="24"/>
          <w:szCs w:val="24"/>
          <w:lang w:eastAsia="es-AR"/>
        </w:rPr>
        <w:t>).</w:t>
      </w:r>
      <w:r w:rsidRPr="008E7709">
        <w:rPr>
          <w:rFonts w:ascii="inherit" w:eastAsia="Times New Roman" w:hAnsi="inherit" w:cs="Times New Roman"/>
          <w:color w:val="444444"/>
          <w:sz w:val="24"/>
          <w:szCs w:val="24"/>
          <w:lang w:eastAsia="es-AR"/>
        </w:rPr>
        <w:br/>
        <w:t xml:space="preserve">La </w:t>
      </w:r>
      <w:r w:rsidRPr="008E7709">
        <w:rPr>
          <w:rFonts w:ascii="inherit" w:eastAsia="Times New Roman" w:hAnsi="inherit" w:cs="Times New Roman"/>
          <w:b/>
          <w:color w:val="444444"/>
          <w:sz w:val="24"/>
          <w:szCs w:val="24"/>
          <w:lang w:eastAsia="es-AR"/>
        </w:rPr>
        <w:t>población objetivo NO necesita orden médica</w:t>
      </w:r>
      <w:r w:rsidRPr="008E7709">
        <w:rPr>
          <w:rFonts w:ascii="inherit" w:eastAsia="Times New Roman" w:hAnsi="inherit" w:cs="Times New Roman"/>
          <w:color w:val="444444"/>
          <w:sz w:val="24"/>
          <w:szCs w:val="24"/>
          <w:lang w:eastAsia="es-AR"/>
        </w:rPr>
        <w:t>, excepto el grupo de 24 meses a 64 años con factores de riesgo, que necesita orden médica o documentación que acredite la condición preexistente.</w:t>
      </w:r>
    </w:p>
    <w:p w:rsidR="008E7709" w:rsidRPr="008E7709" w:rsidRDefault="008E7709" w:rsidP="00AB0BA5">
      <w:pPr>
        <w:shd w:val="clear" w:color="auto" w:fill="FFFFFF"/>
        <w:spacing w:after="360" w:line="240" w:lineRule="auto"/>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 xml:space="preserve">El </w:t>
      </w:r>
      <w:proofErr w:type="spellStart"/>
      <w:r w:rsidRPr="008E7709">
        <w:rPr>
          <w:rFonts w:ascii="Open Sans" w:eastAsia="Times New Roman" w:hAnsi="Open Sans" w:cs="Times New Roman"/>
          <w:color w:val="444444"/>
          <w:sz w:val="24"/>
          <w:szCs w:val="24"/>
          <w:lang w:eastAsia="es-AR"/>
        </w:rPr>
        <w:t>subclado</w:t>
      </w:r>
      <w:proofErr w:type="spellEnd"/>
      <w:r w:rsidRPr="008E7709">
        <w:rPr>
          <w:rFonts w:ascii="Open Sans" w:eastAsia="Times New Roman" w:hAnsi="Open Sans" w:cs="Times New Roman"/>
          <w:color w:val="444444"/>
          <w:sz w:val="24"/>
          <w:szCs w:val="24"/>
          <w:lang w:eastAsia="es-AR"/>
        </w:rPr>
        <w:t xml:space="preserve"> K es un nuevo </w:t>
      </w:r>
      <w:proofErr w:type="spellStart"/>
      <w:r w:rsidRPr="008E7709">
        <w:rPr>
          <w:rFonts w:ascii="Open Sans" w:eastAsia="Times New Roman" w:hAnsi="Open Sans" w:cs="Times New Roman"/>
          <w:color w:val="444444"/>
          <w:sz w:val="24"/>
          <w:szCs w:val="24"/>
          <w:lang w:eastAsia="es-AR"/>
        </w:rPr>
        <w:t>subclado</w:t>
      </w:r>
      <w:proofErr w:type="spellEnd"/>
      <w:r w:rsidRPr="008E7709">
        <w:rPr>
          <w:rFonts w:ascii="Open Sans" w:eastAsia="Times New Roman" w:hAnsi="Open Sans" w:cs="Times New Roman"/>
          <w:color w:val="444444"/>
          <w:sz w:val="24"/>
          <w:szCs w:val="24"/>
          <w:lang w:eastAsia="es-AR"/>
        </w:rPr>
        <w:t xml:space="preserve"> con cambios antigénicos claros pero dentro del marco de la evolución esperable. Los datos epidemiológicos no indican un aumento en la gravedad de la enfermedad. Estudios serológicos realizados mediante test de inhibición de la </w:t>
      </w:r>
      <w:r w:rsidR="00AB0BA5">
        <w:rPr>
          <w:rFonts w:ascii="Open Sans" w:eastAsia="Times New Roman" w:hAnsi="Open Sans" w:cs="Times New Roman"/>
          <w:color w:val="444444"/>
          <w:sz w:val="24"/>
          <w:szCs w:val="24"/>
          <w:lang w:eastAsia="es-AR"/>
        </w:rPr>
        <w:t>h</w:t>
      </w:r>
      <w:r w:rsidRPr="008E7709">
        <w:rPr>
          <w:rFonts w:ascii="Open Sans" w:eastAsia="Times New Roman" w:hAnsi="Open Sans" w:cs="Times New Roman"/>
          <w:color w:val="444444"/>
          <w:sz w:val="24"/>
          <w:szCs w:val="24"/>
          <w:lang w:eastAsia="es-AR"/>
        </w:rPr>
        <w:t xml:space="preserve">emaglutinación con virus circulante de influenza A (H3N2) indican que los anticuerpos neutralizantes generados por la cepa </w:t>
      </w:r>
      <w:proofErr w:type="spellStart"/>
      <w:r w:rsidRPr="008E7709">
        <w:rPr>
          <w:rFonts w:ascii="Open Sans" w:eastAsia="Times New Roman" w:hAnsi="Open Sans" w:cs="Times New Roman"/>
          <w:color w:val="444444"/>
          <w:sz w:val="24"/>
          <w:szCs w:val="24"/>
          <w:lang w:eastAsia="es-AR"/>
        </w:rPr>
        <w:t>vacunal</w:t>
      </w:r>
      <w:proofErr w:type="spellEnd"/>
      <w:r w:rsidRPr="008E7709">
        <w:rPr>
          <w:rFonts w:ascii="Open Sans" w:eastAsia="Times New Roman" w:hAnsi="Open Sans" w:cs="Times New Roman"/>
          <w:color w:val="444444"/>
          <w:sz w:val="24"/>
          <w:szCs w:val="24"/>
          <w:lang w:eastAsia="es-AR"/>
        </w:rPr>
        <w:t xml:space="preserve"> 2026 </w:t>
      </w:r>
      <w:proofErr w:type="spellStart"/>
      <w:r w:rsidRPr="008E7709">
        <w:rPr>
          <w:rFonts w:ascii="Open Sans" w:eastAsia="Times New Roman" w:hAnsi="Open Sans" w:cs="Times New Roman"/>
          <w:color w:val="444444"/>
          <w:sz w:val="24"/>
          <w:szCs w:val="24"/>
          <w:lang w:eastAsia="es-AR"/>
        </w:rPr>
        <w:t>reacionarían</w:t>
      </w:r>
      <w:proofErr w:type="spellEnd"/>
      <w:r w:rsidRPr="008E7709">
        <w:rPr>
          <w:rFonts w:ascii="Open Sans" w:eastAsia="Times New Roman" w:hAnsi="Open Sans" w:cs="Times New Roman"/>
          <w:color w:val="444444"/>
          <w:sz w:val="24"/>
          <w:szCs w:val="24"/>
          <w:lang w:eastAsia="es-AR"/>
        </w:rPr>
        <w:t xml:space="preserve"> frente al </w:t>
      </w:r>
      <w:proofErr w:type="spellStart"/>
      <w:r w:rsidRPr="008E7709">
        <w:rPr>
          <w:rFonts w:ascii="Open Sans" w:eastAsia="Times New Roman" w:hAnsi="Open Sans" w:cs="Times New Roman"/>
          <w:color w:val="444444"/>
          <w:sz w:val="24"/>
          <w:szCs w:val="24"/>
          <w:lang w:eastAsia="es-AR"/>
        </w:rPr>
        <w:t>subclado</w:t>
      </w:r>
      <w:proofErr w:type="spellEnd"/>
      <w:r w:rsidRPr="008E7709">
        <w:rPr>
          <w:rFonts w:ascii="Open Sans" w:eastAsia="Times New Roman" w:hAnsi="Open Sans" w:cs="Times New Roman"/>
          <w:color w:val="444444"/>
          <w:sz w:val="24"/>
          <w:szCs w:val="24"/>
          <w:lang w:eastAsia="es-AR"/>
        </w:rPr>
        <w:t xml:space="preserve"> K.</w:t>
      </w:r>
      <w:r w:rsidR="00731FDA">
        <w:rPr>
          <w:rFonts w:ascii="Open Sans" w:eastAsia="Times New Roman" w:hAnsi="Open Sans" w:cs="Times New Roman"/>
          <w:color w:val="444444"/>
          <w:sz w:val="24"/>
          <w:szCs w:val="24"/>
          <w:lang w:eastAsia="es-AR"/>
        </w:rPr>
        <w:t xml:space="preserve"> L</w:t>
      </w:r>
      <w:r w:rsidRPr="008E7709">
        <w:rPr>
          <w:rFonts w:ascii="Open Sans" w:eastAsia="Times New Roman" w:hAnsi="Open Sans" w:cs="Times New Roman"/>
          <w:color w:val="444444"/>
          <w:sz w:val="24"/>
          <w:szCs w:val="24"/>
          <w:lang w:eastAsia="es-AR"/>
        </w:rPr>
        <w:t>as vacunas siguen siendo esenciales, especialmente para las personas con alto riesgo de complicaciones por la influenza</w:t>
      </w:r>
      <w:r w:rsidRPr="008E7709">
        <w:rPr>
          <w:rFonts w:ascii="Open Sans" w:eastAsia="Times New Roman" w:hAnsi="Open Sans" w:cs="Times New Roman"/>
          <w:color w:val="444444"/>
          <w:sz w:val="24"/>
          <w:szCs w:val="24"/>
          <w:vertAlign w:val="superscript"/>
          <w:lang w:eastAsia="es-AR"/>
        </w:rPr>
        <w:t>4</w:t>
      </w:r>
      <w:proofErr w:type="gramStart"/>
      <w:r w:rsidRPr="008E7709">
        <w:rPr>
          <w:rFonts w:ascii="Open Sans" w:eastAsia="Times New Roman" w:hAnsi="Open Sans" w:cs="Times New Roman"/>
          <w:color w:val="444444"/>
          <w:sz w:val="24"/>
          <w:szCs w:val="24"/>
          <w:vertAlign w:val="superscript"/>
          <w:lang w:eastAsia="es-AR"/>
        </w:rPr>
        <w:t>,5</w:t>
      </w:r>
      <w:proofErr w:type="gramEnd"/>
      <w:r w:rsidRPr="008E7709">
        <w:rPr>
          <w:rFonts w:ascii="Open Sans" w:eastAsia="Times New Roman" w:hAnsi="Open Sans" w:cs="Times New Roman"/>
          <w:color w:val="444444"/>
          <w:sz w:val="24"/>
          <w:szCs w:val="24"/>
          <w:lang w:eastAsia="es-AR"/>
        </w:rPr>
        <w:t>.</w:t>
      </w:r>
      <w:r w:rsidR="00AB0BA5">
        <w:rPr>
          <w:rFonts w:ascii="Open Sans" w:eastAsia="Times New Roman" w:hAnsi="Open Sans" w:cs="Times New Roman"/>
          <w:color w:val="444444"/>
          <w:sz w:val="24"/>
          <w:szCs w:val="24"/>
          <w:lang w:eastAsia="es-AR"/>
        </w:rPr>
        <w:t xml:space="preserve"> </w:t>
      </w:r>
      <w:r w:rsidRPr="008E7709">
        <w:rPr>
          <w:rFonts w:ascii="Open Sans" w:eastAsia="Times New Roman" w:hAnsi="Open Sans" w:cs="Times New Roman"/>
          <w:color w:val="444444"/>
          <w:sz w:val="24"/>
          <w:szCs w:val="24"/>
          <w:lang w:eastAsia="es-AR"/>
        </w:rPr>
        <w:t xml:space="preserve">La </w:t>
      </w:r>
      <w:proofErr w:type="spellStart"/>
      <w:r w:rsidRPr="008E7709">
        <w:rPr>
          <w:rFonts w:ascii="Open Sans" w:eastAsia="Times New Roman" w:hAnsi="Open Sans" w:cs="Times New Roman"/>
          <w:color w:val="444444"/>
          <w:sz w:val="24"/>
          <w:szCs w:val="24"/>
          <w:lang w:eastAsia="es-AR"/>
        </w:rPr>
        <w:t>seroprotección</w:t>
      </w:r>
      <w:proofErr w:type="spellEnd"/>
      <w:r w:rsidRPr="008E7709">
        <w:rPr>
          <w:rFonts w:ascii="Open Sans" w:eastAsia="Times New Roman" w:hAnsi="Open Sans" w:cs="Times New Roman"/>
          <w:color w:val="444444"/>
          <w:sz w:val="24"/>
          <w:szCs w:val="24"/>
          <w:lang w:eastAsia="es-AR"/>
        </w:rPr>
        <w:t xml:space="preserve"> se obtiene generalmente en 2 a 3 semanas posterior a la vacunación. La duración de la inmunidad es de 6 a 12 meses</w:t>
      </w:r>
      <w:r w:rsidRPr="008E7709">
        <w:rPr>
          <w:rFonts w:ascii="Open Sans" w:eastAsia="Times New Roman" w:hAnsi="Open Sans" w:cs="Times New Roman"/>
          <w:color w:val="444444"/>
          <w:sz w:val="24"/>
          <w:szCs w:val="24"/>
          <w:vertAlign w:val="superscript"/>
          <w:lang w:eastAsia="es-AR"/>
        </w:rPr>
        <w:t>6</w:t>
      </w:r>
      <w:proofErr w:type="gramStart"/>
      <w:r w:rsidRPr="008E7709">
        <w:rPr>
          <w:rFonts w:ascii="Open Sans" w:eastAsia="Times New Roman" w:hAnsi="Open Sans" w:cs="Times New Roman"/>
          <w:color w:val="444444"/>
          <w:sz w:val="24"/>
          <w:szCs w:val="24"/>
          <w:vertAlign w:val="superscript"/>
          <w:lang w:eastAsia="es-AR"/>
        </w:rPr>
        <w:t>,7</w:t>
      </w:r>
      <w:proofErr w:type="gramEnd"/>
      <w:r w:rsidRPr="008E7709">
        <w:rPr>
          <w:rFonts w:ascii="Open Sans" w:eastAsia="Times New Roman" w:hAnsi="Open Sans" w:cs="Times New Roman"/>
          <w:color w:val="444444"/>
          <w:sz w:val="24"/>
          <w:szCs w:val="24"/>
          <w:lang w:eastAsia="es-AR"/>
        </w:rPr>
        <w:t>.</w:t>
      </w:r>
    </w:p>
    <w:p w:rsidR="00AB0BA5" w:rsidRDefault="008E7709" w:rsidP="00AB0BA5">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r w:rsidRPr="00AB0BA5">
        <w:rPr>
          <w:rFonts w:ascii="inherit" w:eastAsia="Times New Roman" w:hAnsi="inherit" w:cs="Times New Roman"/>
          <w:b/>
          <w:bCs/>
          <w:color w:val="444444"/>
          <w:sz w:val="21"/>
          <w:szCs w:val="21"/>
          <w:u w:val="single"/>
          <w:bdr w:val="none" w:sz="0" w:space="0" w:color="auto" w:frame="1"/>
          <w:lang w:eastAsia="es-AR"/>
        </w:rPr>
        <w:t xml:space="preserve">Vacuna </w:t>
      </w:r>
      <w:proofErr w:type="spellStart"/>
      <w:r w:rsidRPr="00AB0BA5">
        <w:rPr>
          <w:rFonts w:ascii="inherit" w:eastAsia="Times New Roman" w:hAnsi="inherit" w:cs="Times New Roman"/>
          <w:b/>
          <w:bCs/>
          <w:color w:val="444444"/>
          <w:sz w:val="21"/>
          <w:szCs w:val="21"/>
          <w:u w:val="single"/>
          <w:bdr w:val="none" w:sz="0" w:space="0" w:color="auto" w:frame="1"/>
          <w:lang w:eastAsia="es-AR"/>
        </w:rPr>
        <w:t>adyuvantada</w:t>
      </w:r>
      <w:proofErr w:type="spellEnd"/>
      <w:r w:rsidRPr="008E7709">
        <w:rPr>
          <w:rFonts w:ascii="Open Sans" w:eastAsia="Times New Roman" w:hAnsi="Open Sans" w:cs="Times New Roman"/>
          <w:color w:val="444444"/>
          <w:sz w:val="24"/>
          <w:szCs w:val="24"/>
          <w:lang w:eastAsia="es-AR"/>
        </w:rPr>
        <w:t xml:space="preserve">: la respuesta de anticuerpos es mayor cuando se compara con la de otras vacunas que carecen de adyuvante. Esto es más marcado por los antígenos de la influenza B y A/H3N2. Esta respuesta aumentada se ha observado particularmente en adultos mayores con títulos pre-vacunación bajos y/o con enfermedades subyacentes (diabetes, enfermedades cardiovasculares y respiratorias) quienes tienen mayor riesgo de complicaciones por influenza. La vacuna puede aplicarse en personas a partir de los 50 años de edad. </w:t>
      </w:r>
      <w:r w:rsidRPr="008E7709">
        <w:rPr>
          <w:rFonts w:ascii="Open Sans" w:eastAsia="Times New Roman" w:hAnsi="Open Sans" w:cs="Times New Roman"/>
          <w:b/>
          <w:color w:val="444444"/>
          <w:sz w:val="24"/>
          <w:szCs w:val="24"/>
          <w:lang w:eastAsia="es-AR"/>
        </w:rPr>
        <w:t>No está indicado para su uso en niños.</w:t>
      </w:r>
      <w:r w:rsidRPr="008E7709">
        <w:rPr>
          <w:rFonts w:ascii="Open Sans" w:eastAsia="Times New Roman" w:hAnsi="Open Sans" w:cs="Times New Roman"/>
          <w:color w:val="444444"/>
          <w:sz w:val="24"/>
          <w:szCs w:val="24"/>
          <w:lang w:eastAsia="es-AR"/>
        </w:rPr>
        <w:t xml:space="preserve"> No se dispone de datos sobre el uso en embarazadas.</w:t>
      </w:r>
    </w:p>
    <w:p w:rsidR="008E7709" w:rsidRDefault="008E7709" w:rsidP="00AB0BA5">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r w:rsidRPr="008E7709">
        <w:rPr>
          <w:rFonts w:ascii="inherit" w:eastAsia="Times New Roman" w:hAnsi="inherit" w:cs="Times New Roman"/>
          <w:b/>
          <w:bCs/>
          <w:color w:val="444444"/>
          <w:sz w:val="21"/>
          <w:szCs w:val="21"/>
          <w:bdr w:val="none" w:sz="0" w:space="0" w:color="auto" w:frame="1"/>
          <w:lang w:eastAsia="es-AR"/>
        </w:rPr>
        <w:t>Efectos adversos y contraindicaciones:</w:t>
      </w:r>
      <w:r w:rsidRPr="008E7709">
        <w:rPr>
          <w:rFonts w:ascii="Open Sans" w:eastAsia="Times New Roman" w:hAnsi="Open Sans" w:cs="Times New Roman"/>
          <w:color w:val="444444"/>
          <w:sz w:val="24"/>
          <w:szCs w:val="24"/>
          <w:lang w:eastAsia="es-AR"/>
        </w:rPr>
        <w:t> Los eventos adversos son poco frecuentes, con una incidencia estimada en menos del 15%. Se trata de reacciones leves, pueden ser locales (dolor, induración o eritema) o generales (fiebre, malestar y mialgia). Estos efectos no requieren intervenciones.</w:t>
      </w:r>
      <w:r w:rsidRPr="008E7709">
        <w:rPr>
          <w:rFonts w:ascii="Open Sans" w:eastAsia="Times New Roman" w:hAnsi="Open Sans" w:cs="Times New Roman"/>
          <w:color w:val="444444"/>
          <w:sz w:val="24"/>
          <w:szCs w:val="24"/>
          <w:lang w:eastAsia="es-AR"/>
        </w:rPr>
        <w:br/>
        <w:t xml:space="preserve">Las contraindicaciones de la vacunación incluyen el antecedente de reacción anafiláctica a la vacuna o haber presentado un Síndrome de </w:t>
      </w:r>
      <w:proofErr w:type="spellStart"/>
      <w:r w:rsidRPr="008E7709">
        <w:rPr>
          <w:rFonts w:ascii="Open Sans" w:eastAsia="Times New Roman" w:hAnsi="Open Sans" w:cs="Times New Roman"/>
          <w:color w:val="444444"/>
          <w:sz w:val="24"/>
          <w:szCs w:val="24"/>
          <w:lang w:eastAsia="es-AR"/>
        </w:rPr>
        <w:t>Guillain</w:t>
      </w:r>
      <w:proofErr w:type="spellEnd"/>
      <w:r w:rsidRPr="008E7709">
        <w:rPr>
          <w:rFonts w:ascii="Open Sans" w:eastAsia="Times New Roman" w:hAnsi="Open Sans" w:cs="Times New Roman"/>
          <w:color w:val="444444"/>
          <w:sz w:val="24"/>
          <w:szCs w:val="24"/>
          <w:lang w:eastAsia="es-AR"/>
        </w:rPr>
        <w:t>-Barré en las seis semanas posteriores a la vacunación por influenza, tras descartar otras etiologías</w:t>
      </w:r>
      <w:r w:rsidRPr="008E7709">
        <w:rPr>
          <w:rFonts w:ascii="Open Sans" w:eastAsia="Times New Roman" w:hAnsi="Open Sans" w:cs="Times New Roman"/>
          <w:color w:val="444444"/>
          <w:sz w:val="24"/>
          <w:szCs w:val="24"/>
          <w:vertAlign w:val="superscript"/>
          <w:lang w:eastAsia="es-AR"/>
        </w:rPr>
        <w:t>2</w:t>
      </w:r>
      <w:r w:rsidRPr="008E7709">
        <w:rPr>
          <w:rFonts w:ascii="Open Sans" w:eastAsia="Times New Roman" w:hAnsi="Open Sans" w:cs="Times New Roman"/>
          <w:color w:val="444444"/>
          <w:sz w:val="24"/>
          <w:szCs w:val="24"/>
          <w:lang w:eastAsia="es-AR"/>
        </w:rPr>
        <w:t>.</w:t>
      </w:r>
    </w:p>
    <w:p w:rsidR="00AB0BA5" w:rsidRPr="008E7709" w:rsidRDefault="00AB0BA5" w:rsidP="00AB0BA5">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p>
    <w:p w:rsidR="00AB0BA5" w:rsidRDefault="008E7709" w:rsidP="00AB0BA5">
      <w:pPr>
        <w:shd w:val="clear" w:color="auto" w:fill="FFFFFF"/>
        <w:spacing w:after="0" w:line="240" w:lineRule="auto"/>
        <w:jc w:val="both"/>
        <w:textAlignment w:val="baseline"/>
        <w:rPr>
          <w:rFonts w:ascii="inherit" w:eastAsia="Times New Roman" w:hAnsi="inherit" w:cs="Times New Roman"/>
          <w:b/>
          <w:bCs/>
          <w:color w:val="444444"/>
          <w:sz w:val="21"/>
          <w:szCs w:val="21"/>
          <w:bdr w:val="none" w:sz="0" w:space="0" w:color="auto" w:frame="1"/>
          <w:lang w:eastAsia="es-AR"/>
        </w:rPr>
      </w:pPr>
      <w:r w:rsidRPr="008E7709">
        <w:rPr>
          <w:rFonts w:ascii="inherit" w:eastAsia="Times New Roman" w:hAnsi="inherit" w:cs="Times New Roman"/>
          <w:b/>
          <w:bCs/>
          <w:color w:val="444444"/>
          <w:sz w:val="21"/>
          <w:szCs w:val="21"/>
          <w:bdr w:val="none" w:sz="0" w:space="0" w:color="auto" w:frame="1"/>
          <w:lang w:eastAsia="es-AR"/>
        </w:rPr>
        <w:t>VACUNA SARS-Cov-2 (COVID-19)</w:t>
      </w:r>
    </w:p>
    <w:p w:rsidR="008E7709" w:rsidRPr="008E7709" w:rsidRDefault="008E7709" w:rsidP="00AB0BA5">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 xml:space="preserve">Argentina dispone actualmente de la vacuna COMIRNATY JN.1 (Pfizer) de plataforma de </w:t>
      </w:r>
      <w:proofErr w:type="spellStart"/>
      <w:r w:rsidRPr="008E7709">
        <w:rPr>
          <w:rFonts w:ascii="Open Sans" w:eastAsia="Times New Roman" w:hAnsi="Open Sans" w:cs="Times New Roman"/>
          <w:color w:val="444444"/>
          <w:sz w:val="24"/>
          <w:szCs w:val="24"/>
          <w:lang w:eastAsia="es-AR"/>
        </w:rPr>
        <w:t>ARNm</w:t>
      </w:r>
      <w:proofErr w:type="spellEnd"/>
      <w:r w:rsidRPr="008E7709">
        <w:rPr>
          <w:rFonts w:ascii="Open Sans" w:eastAsia="Times New Roman" w:hAnsi="Open Sans" w:cs="Times New Roman"/>
          <w:color w:val="444444"/>
          <w:sz w:val="24"/>
          <w:szCs w:val="24"/>
          <w:lang w:eastAsia="es-AR"/>
        </w:rPr>
        <w:t>.</w:t>
      </w:r>
      <w:r w:rsidRPr="008E7709">
        <w:rPr>
          <w:rFonts w:ascii="Open Sans" w:eastAsia="Times New Roman" w:hAnsi="Open Sans" w:cs="Times New Roman"/>
          <w:color w:val="444444"/>
          <w:sz w:val="24"/>
          <w:szCs w:val="24"/>
          <w:lang w:eastAsia="es-AR"/>
        </w:rPr>
        <w:br/>
        <w:t>Se recomienda vacunación:</w:t>
      </w:r>
    </w:p>
    <w:p w:rsidR="008E7709" w:rsidRPr="008E7709" w:rsidRDefault="008E7709" w:rsidP="00AB0BA5">
      <w:pPr>
        <w:numPr>
          <w:ilvl w:val="0"/>
          <w:numId w:val="4"/>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es-AR"/>
        </w:rPr>
      </w:pPr>
      <w:r w:rsidRPr="008E7709">
        <w:rPr>
          <w:rFonts w:ascii="inherit" w:eastAsia="Times New Roman" w:hAnsi="inherit" w:cs="Times New Roman"/>
          <w:color w:val="444444"/>
          <w:sz w:val="24"/>
          <w:szCs w:val="24"/>
          <w:lang w:eastAsia="es-AR"/>
        </w:rPr>
        <w:t>Personas de 12 a 64 años de edad con factores de riesgo</w:t>
      </w:r>
      <w:r w:rsidRPr="008E7709">
        <w:rPr>
          <w:rFonts w:ascii="inherit" w:eastAsia="Times New Roman" w:hAnsi="inherit" w:cs="Times New Roman"/>
          <w:b/>
          <w:bCs/>
          <w:color w:val="444444"/>
          <w:sz w:val="24"/>
          <w:szCs w:val="24"/>
          <w:bdr w:val="none" w:sz="0" w:space="0" w:color="auto" w:frame="1"/>
          <w:lang w:eastAsia="es-AR"/>
        </w:rPr>
        <w:t>*: se debe aplicar 1 dosis cada 12 meses</w:t>
      </w:r>
    </w:p>
    <w:p w:rsidR="008E7709" w:rsidRPr="008E7709" w:rsidRDefault="008E7709" w:rsidP="00AB0BA5">
      <w:pPr>
        <w:numPr>
          <w:ilvl w:val="0"/>
          <w:numId w:val="4"/>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es-AR"/>
        </w:rPr>
      </w:pPr>
      <w:r w:rsidRPr="008E7709">
        <w:rPr>
          <w:rFonts w:ascii="inherit" w:eastAsia="Times New Roman" w:hAnsi="inherit" w:cs="Times New Roman"/>
          <w:b/>
          <w:bCs/>
          <w:color w:val="444444"/>
          <w:sz w:val="24"/>
          <w:szCs w:val="24"/>
          <w:bdr w:val="none" w:sz="0" w:space="0" w:color="auto" w:frame="1"/>
          <w:lang w:eastAsia="es-AR"/>
        </w:rPr>
        <w:t xml:space="preserve">Personas de 12 a 64 años de edad con </w:t>
      </w:r>
      <w:proofErr w:type="spellStart"/>
      <w:r w:rsidRPr="008E7709">
        <w:rPr>
          <w:rFonts w:ascii="inherit" w:eastAsia="Times New Roman" w:hAnsi="inherit" w:cs="Times New Roman"/>
          <w:b/>
          <w:bCs/>
          <w:color w:val="444444"/>
          <w:sz w:val="24"/>
          <w:szCs w:val="24"/>
          <w:bdr w:val="none" w:sz="0" w:space="0" w:color="auto" w:frame="1"/>
          <w:lang w:eastAsia="es-AR"/>
        </w:rPr>
        <w:t>inmunocompromiso</w:t>
      </w:r>
      <w:proofErr w:type="spellEnd"/>
      <w:r w:rsidRPr="008E7709">
        <w:rPr>
          <w:rFonts w:ascii="inherit" w:eastAsia="Times New Roman" w:hAnsi="inherit" w:cs="Times New Roman"/>
          <w:color w:val="444444"/>
          <w:sz w:val="24"/>
          <w:szCs w:val="24"/>
          <w:lang w:eastAsia="es-AR"/>
        </w:rPr>
        <w:t> (Anexo 1): 1 dosis cada 6 meses.</w:t>
      </w:r>
    </w:p>
    <w:p w:rsidR="008E7709" w:rsidRPr="008E7709" w:rsidRDefault="008E7709" w:rsidP="00AB0BA5">
      <w:pPr>
        <w:numPr>
          <w:ilvl w:val="0"/>
          <w:numId w:val="4"/>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es-AR"/>
        </w:rPr>
      </w:pPr>
      <w:r w:rsidRPr="008E7709">
        <w:rPr>
          <w:rFonts w:ascii="inherit" w:eastAsia="Times New Roman" w:hAnsi="inherit" w:cs="Times New Roman"/>
          <w:color w:val="444444"/>
          <w:sz w:val="24"/>
          <w:szCs w:val="24"/>
          <w:lang w:eastAsia="es-AR"/>
        </w:rPr>
        <w:t>Personas ≥ 65 años: 1 dosis anual. • Personal de salud y personal estratégico: 1 dosis anual.</w:t>
      </w:r>
    </w:p>
    <w:p w:rsidR="008E7709" w:rsidRPr="008E7709" w:rsidRDefault="008E7709" w:rsidP="00AB0BA5">
      <w:pPr>
        <w:numPr>
          <w:ilvl w:val="0"/>
          <w:numId w:val="4"/>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es-AR"/>
        </w:rPr>
      </w:pPr>
      <w:r w:rsidRPr="008E7709">
        <w:rPr>
          <w:rFonts w:ascii="inherit" w:eastAsia="Times New Roman" w:hAnsi="inherit" w:cs="Times New Roman"/>
          <w:color w:val="444444"/>
          <w:sz w:val="24"/>
          <w:szCs w:val="24"/>
          <w:lang w:eastAsia="es-AR"/>
        </w:rPr>
        <w:t>Embarazadas en cualquier trimestre: 1 dosis</w:t>
      </w:r>
      <w:r w:rsidRPr="008E7709">
        <w:rPr>
          <w:rFonts w:ascii="inherit" w:eastAsia="Times New Roman" w:hAnsi="inherit" w:cs="Times New Roman"/>
          <w:color w:val="444444"/>
          <w:sz w:val="24"/>
          <w:szCs w:val="24"/>
          <w:bdr w:val="none" w:sz="0" w:space="0" w:color="auto" w:frame="1"/>
          <w:vertAlign w:val="superscript"/>
          <w:lang w:eastAsia="es-AR"/>
        </w:rPr>
        <w:t>8</w:t>
      </w:r>
      <w:r w:rsidRPr="008E7709">
        <w:rPr>
          <w:rFonts w:ascii="inherit" w:eastAsia="Times New Roman" w:hAnsi="inherit" w:cs="Times New Roman"/>
          <w:color w:val="444444"/>
          <w:sz w:val="24"/>
          <w:szCs w:val="24"/>
          <w:lang w:eastAsia="es-AR"/>
        </w:rPr>
        <w:t>.</w:t>
      </w:r>
    </w:p>
    <w:p w:rsidR="008E7709" w:rsidRPr="008E7709" w:rsidRDefault="008E7709" w:rsidP="00AB0BA5">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 xml:space="preserve">El objetivo de la vacunación contra la COVID-19 en huéspedes inmunocomprometidos, es disminuir las formas graves, hospitalizaciones y muertes por esta enfermedad. Sin embargo, la eficacia y la efectividad de la vacuna entre las personas con condiciones de </w:t>
      </w:r>
      <w:proofErr w:type="spellStart"/>
      <w:r w:rsidRPr="008E7709">
        <w:rPr>
          <w:rFonts w:ascii="Open Sans" w:eastAsia="Times New Roman" w:hAnsi="Open Sans" w:cs="Times New Roman"/>
          <w:color w:val="444444"/>
          <w:sz w:val="24"/>
          <w:szCs w:val="24"/>
          <w:lang w:eastAsia="es-AR"/>
        </w:rPr>
        <w:t>inmunocompromiso</w:t>
      </w:r>
      <w:proofErr w:type="spellEnd"/>
      <w:r w:rsidRPr="008E7709">
        <w:rPr>
          <w:rFonts w:ascii="Open Sans" w:eastAsia="Times New Roman" w:hAnsi="Open Sans" w:cs="Times New Roman"/>
          <w:color w:val="444444"/>
          <w:sz w:val="24"/>
          <w:szCs w:val="24"/>
          <w:lang w:eastAsia="es-AR"/>
        </w:rPr>
        <w:t xml:space="preserve"> </w:t>
      </w:r>
      <w:proofErr w:type="gramStart"/>
      <w:r w:rsidRPr="008E7709">
        <w:rPr>
          <w:rFonts w:ascii="Open Sans" w:eastAsia="Times New Roman" w:hAnsi="Open Sans" w:cs="Times New Roman"/>
          <w:color w:val="444444"/>
          <w:sz w:val="24"/>
          <w:szCs w:val="24"/>
          <w:lang w:eastAsia="es-AR"/>
        </w:rPr>
        <w:t>es</w:t>
      </w:r>
      <w:proofErr w:type="gramEnd"/>
      <w:r w:rsidRPr="008E7709">
        <w:rPr>
          <w:rFonts w:ascii="Open Sans" w:eastAsia="Times New Roman" w:hAnsi="Open Sans" w:cs="Times New Roman"/>
          <w:color w:val="444444"/>
          <w:sz w:val="24"/>
          <w:szCs w:val="24"/>
          <w:lang w:eastAsia="es-AR"/>
        </w:rPr>
        <w:t xml:space="preserve"> menor que en las personas </w:t>
      </w:r>
      <w:proofErr w:type="spellStart"/>
      <w:r w:rsidRPr="008E7709">
        <w:rPr>
          <w:rFonts w:ascii="Open Sans" w:eastAsia="Times New Roman" w:hAnsi="Open Sans" w:cs="Times New Roman"/>
          <w:color w:val="444444"/>
          <w:sz w:val="24"/>
          <w:szCs w:val="24"/>
          <w:lang w:eastAsia="es-AR"/>
        </w:rPr>
        <w:t>inmunocompetentes</w:t>
      </w:r>
      <w:proofErr w:type="spellEnd"/>
      <w:r w:rsidRPr="008E7709">
        <w:rPr>
          <w:rFonts w:ascii="Open Sans" w:eastAsia="Times New Roman" w:hAnsi="Open Sans" w:cs="Times New Roman"/>
          <w:color w:val="444444"/>
          <w:sz w:val="24"/>
          <w:szCs w:val="24"/>
          <w:lang w:eastAsia="es-AR"/>
        </w:rPr>
        <w:t xml:space="preserve"> y la misma disminuye después de varios meses desde la aplicación de la última dosis. El grado de </w:t>
      </w:r>
      <w:proofErr w:type="spellStart"/>
      <w:r w:rsidR="00AB0BA5">
        <w:rPr>
          <w:rFonts w:ascii="Open Sans" w:eastAsia="Times New Roman" w:hAnsi="Open Sans" w:cs="Times New Roman"/>
          <w:color w:val="444444"/>
          <w:sz w:val="24"/>
          <w:szCs w:val="24"/>
          <w:lang w:eastAsia="es-AR"/>
        </w:rPr>
        <w:t>i</w:t>
      </w:r>
      <w:r w:rsidRPr="008E7709">
        <w:rPr>
          <w:rFonts w:ascii="Open Sans" w:eastAsia="Times New Roman" w:hAnsi="Open Sans" w:cs="Times New Roman"/>
          <w:color w:val="444444"/>
          <w:sz w:val="24"/>
          <w:szCs w:val="24"/>
          <w:lang w:eastAsia="es-AR"/>
        </w:rPr>
        <w:t>nmunocompromiso</w:t>
      </w:r>
      <w:proofErr w:type="spellEnd"/>
      <w:r w:rsidRPr="008E7709">
        <w:rPr>
          <w:rFonts w:ascii="Open Sans" w:eastAsia="Times New Roman" w:hAnsi="Open Sans" w:cs="Times New Roman"/>
          <w:color w:val="444444"/>
          <w:sz w:val="24"/>
          <w:szCs w:val="24"/>
          <w:lang w:eastAsia="es-AR"/>
        </w:rPr>
        <w:t xml:space="preserve"> es fundamental para definir la periodicidad de los refuerzos</w:t>
      </w:r>
      <w:r w:rsidRPr="008E7709">
        <w:rPr>
          <w:rFonts w:ascii="Open Sans" w:eastAsia="Times New Roman" w:hAnsi="Open Sans" w:cs="Times New Roman"/>
          <w:color w:val="444444"/>
          <w:sz w:val="24"/>
          <w:szCs w:val="24"/>
          <w:vertAlign w:val="superscript"/>
          <w:lang w:eastAsia="es-AR"/>
        </w:rPr>
        <w:t>26</w:t>
      </w:r>
      <w:r w:rsidRPr="008E7709">
        <w:rPr>
          <w:rFonts w:ascii="Open Sans" w:eastAsia="Times New Roman" w:hAnsi="Open Sans" w:cs="Times New Roman"/>
          <w:color w:val="444444"/>
          <w:sz w:val="24"/>
          <w:szCs w:val="24"/>
          <w:lang w:eastAsia="es-AR"/>
        </w:rPr>
        <w:t>. En los grupos de mayor riesgo, el refuerzo se propone cada 6 meses</w:t>
      </w:r>
      <w:r w:rsidRPr="008E7709">
        <w:rPr>
          <w:rFonts w:ascii="inherit" w:eastAsia="Times New Roman" w:hAnsi="inherit" w:cs="Times New Roman"/>
          <w:color w:val="444444"/>
          <w:sz w:val="24"/>
          <w:szCs w:val="24"/>
          <w:bdr w:val="none" w:sz="0" w:space="0" w:color="auto" w:frame="1"/>
          <w:vertAlign w:val="superscript"/>
          <w:lang w:eastAsia="es-AR"/>
        </w:rPr>
        <w:t>26</w:t>
      </w:r>
      <w:r w:rsidRPr="008E7709">
        <w:rPr>
          <w:rFonts w:ascii="Open Sans" w:eastAsia="Times New Roman" w:hAnsi="Open Sans" w:cs="Times New Roman"/>
          <w:color w:val="444444"/>
          <w:sz w:val="24"/>
          <w:szCs w:val="24"/>
          <w:lang w:eastAsia="es-AR"/>
        </w:rPr>
        <w:t xml:space="preserve">. </w:t>
      </w:r>
      <w:r w:rsidR="00AB0BA5" w:rsidRPr="008E7709">
        <w:rPr>
          <w:rFonts w:ascii="Open Sans" w:eastAsia="Times New Roman" w:hAnsi="Open Sans" w:cs="Times New Roman"/>
          <w:color w:val="444444"/>
          <w:sz w:val="24"/>
          <w:szCs w:val="24"/>
          <w:lang w:eastAsia="es-AR"/>
        </w:rPr>
        <w:t>Según</w:t>
      </w:r>
      <w:r w:rsidRPr="008E7709">
        <w:rPr>
          <w:rFonts w:ascii="Open Sans" w:eastAsia="Times New Roman" w:hAnsi="Open Sans" w:cs="Times New Roman"/>
          <w:color w:val="444444"/>
          <w:sz w:val="24"/>
          <w:szCs w:val="24"/>
          <w:lang w:eastAsia="es-AR"/>
        </w:rPr>
        <w:t xml:space="preserve"> el CDC, la inmunidad contra hospitalizaciones por COVID cae entre los 4-6 meses post vacunación y dado que este grupo presenta alto riesgo de enfermedad grave el </w:t>
      </w:r>
      <w:proofErr w:type="spellStart"/>
      <w:r w:rsidRPr="008E7709">
        <w:rPr>
          <w:rFonts w:ascii="Open Sans" w:eastAsia="Times New Roman" w:hAnsi="Open Sans" w:cs="Times New Roman"/>
          <w:color w:val="444444"/>
          <w:sz w:val="24"/>
          <w:szCs w:val="24"/>
          <w:lang w:eastAsia="es-AR"/>
        </w:rPr>
        <w:t>booster</w:t>
      </w:r>
      <w:proofErr w:type="spellEnd"/>
      <w:r w:rsidRPr="008E7709">
        <w:rPr>
          <w:rFonts w:ascii="Open Sans" w:eastAsia="Times New Roman" w:hAnsi="Open Sans" w:cs="Times New Roman"/>
          <w:color w:val="444444"/>
          <w:sz w:val="24"/>
          <w:szCs w:val="24"/>
          <w:lang w:eastAsia="es-AR"/>
        </w:rPr>
        <w:t xml:space="preserve"> cada 6 meses protege durante todo el año, teniendo en cuenta que el COVID no tiene una estacionalidad marcada como otros virus</w:t>
      </w:r>
      <w:r w:rsidRPr="008E7709">
        <w:rPr>
          <w:rFonts w:ascii="inherit" w:eastAsia="Times New Roman" w:hAnsi="inherit" w:cs="Times New Roman"/>
          <w:color w:val="444444"/>
          <w:sz w:val="24"/>
          <w:szCs w:val="24"/>
          <w:bdr w:val="none" w:sz="0" w:space="0" w:color="auto" w:frame="1"/>
          <w:vertAlign w:val="superscript"/>
          <w:lang w:eastAsia="es-AR"/>
        </w:rPr>
        <w:t>27</w:t>
      </w:r>
      <w:r w:rsidRPr="008E7709">
        <w:rPr>
          <w:rFonts w:ascii="Open Sans" w:eastAsia="Times New Roman" w:hAnsi="Open Sans" w:cs="Times New Roman"/>
          <w:color w:val="444444"/>
          <w:sz w:val="24"/>
          <w:szCs w:val="24"/>
          <w:lang w:eastAsia="es-AR"/>
        </w:rPr>
        <w:t>.</w:t>
      </w:r>
    </w:p>
    <w:p w:rsidR="008E7709" w:rsidRPr="008E7709" w:rsidRDefault="008E7709" w:rsidP="00AB0BA5">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r w:rsidRPr="008E7709">
        <w:rPr>
          <w:rFonts w:ascii="inherit" w:eastAsia="Times New Roman" w:hAnsi="inherit" w:cs="Times New Roman"/>
          <w:b/>
          <w:bCs/>
          <w:color w:val="444444"/>
          <w:sz w:val="21"/>
          <w:szCs w:val="21"/>
          <w:bdr w:val="none" w:sz="0" w:space="0" w:color="auto" w:frame="1"/>
          <w:lang w:eastAsia="es-AR"/>
        </w:rPr>
        <w:lastRenderedPageBreak/>
        <w:t>Efectos adversos</w:t>
      </w:r>
      <w:r w:rsidRPr="008E7709">
        <w:rPr>
          <w:rFonts w:ascii="Open Sans" w:eastAsia="Times New Roman" w:hAnsi="Open Sans" w:cs="Times New Roman"/>
          <w:color w:val="444444"/>
          <w:sz w:val="24"/>
          <w:szCs w:val="24"/>
          <w:lang w:eastAsia="es-AR"/>
        </w:rPr>
        <w:t xml:space="preserve">: Las reacciones adversas más frecuentes son leves y comprenden dolor en el sitio de inyección, eritema, hinchazón, cefalea, dolor muscular y artralgia. Reacciones graves/anafilaxia: La anafilaxia es un posible efecto adverso, aunque infrecuente. Miocarditis y pericarditis: Se han observado casos muy raros de miocarditis y pericarditis, </w:t>
      </w:r>
      <w:r w:rsidR="00AB0BA5">
        <w:rPr>
          <w:rFonts w:ascii="Open Sans" w:eastAsia="Times New Roman" w:hAnsi="Open Sans" w:cs="Times New Roman"/>
          <w:color w:val="444444"/>
          <w:sz w:val="24"/>
          <w:szCs w:val="24"/>
          <w:lang w:eastAsia="es-AR"/>
        </w:rPr>
        <w:t>f</w:t>
      </w:r>
      <w:r w:rsidRPr="008E7709">
        <w:rPr>
          <w:rFonts w:ascii="Open Sans" w:eastAsia="Times New Roman" w:hAnsi="Open Sans" w:cs="Times New Roman"/>
          <w:color w:val="444444"/>
          <w:sz w:val="24"/>
          <w:szCs w:val="24"/>
          <w:lang w:eastAsia="es-AR"/>
        </w:rPr>
        <w:t xml:space="preserve">undamentalmente en varones adolescentes y adultos jóvenes dentro de los 7 días posteriores a recibir la segunda dosis de una vacuna de </w:t>
      </w:r>
      <w:proofErr w:type="spellStart"/>
      <w:r w:rsidRPr="008E7709">
        <w:rPr>
          <w:rFonts w:ascii="Open Sans" w:eastAsia="Times New Roman" w:hAnsi="Open Sans" w:cs="Times New Roman"/>
          <w:color w:val="444444"/>
          <w:sz w:val="24"/>
          <w:szCs w:val="24"/>
          <w:lang w:eastAsia="es-AR"/>
        </w:rPr>
        <w:t>ARNm</w:t>
      </w:r>
      <w:proofErr w:type="spellEnd"/>
      <w:r w:rsidRPr="008E7709">
        <w:rPr>
          <w:rFonts w:ascii="Open Sans" w:eastAsia="Times New Roman" w:hAnsi="Open Sans" w:cs="Times New Roman"/>
          <w:color w:val="444444"/>
          <w:sz w:val="24"/>
          <w:szCs w:val="24"/>
          <w:lang w:eastAsia="es-AR"/>
        </w:rPr>
        <w:t xml:space="preserve"> contra COVID-19. Los datos disponibles indican que el curso de la miocarditis y la pericarditis tras la vacunación no es diferente al de la miocarditis o la pericarditis en general.</w:t>
      </w:r>
    </w:p>
    <w:p w:rsidR="008E7709" w:rsidRDefault="008E7709" w:rsidP="00AB0BA5">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r w:rsidRPr="008E7709">
        <w:rPr>
          <w:rFonts w:ascii="inherit" w:eastAsia="Times New Roman" w:hAnsi="inherit" w:cs="Times New Roman"/>
          <w:b/>
          <w:bCs/>
          <w:color w:val="444444"/>
          <w:sz w:val="21"/>
          <w:szCs w:val="21"/>
          <w:bdr w:val="none" w:sz="0" w:space="0" w:color="auto" w:frame="1"/>
          <w:lang w:eastAsia="es-AR"/>
        </w:rPr>
        <w:t>Precauciones:</w:t>
      </w:r>
      <w:r w:rsidRPr="008E7709">
        <w:rPr>
          <w:rFonts w:ascii="Open Sans" w:eastAsia="Times New Roman" w:hAnsi="Open Sans" w:cs="Times New Roman"/>
          <w:color w:val="444444"/>
          <w:sz w:val="24"/>
          <w:szCs w:val="24"/>
          <w:lang w:eastAsia="es-AR"/>
        </w:rPr>
        <w:t> Reacciones alérgicas moderadas o anafilaxia de cualquier origen, incluyendo medicamentos, otras vacunas o alimentos. Enfermedades agudas graves: se aconseja esperar hasta su resolución antes de recibir la vacuna. Trombocitopenia y trastornos de la coagulación: Al igual que con otras inyecciones intramusculares, las vacunas para COVID-19 deben administrarse con precaución en personas con trombocitopenia o cualquier trastorno de la coagulación dado que pueden ocurrir hemorragias o hematomas post inyección. Antecedentes de miocarditis o pericarditis en las 3 semanas posteriores a una dosis de cualquier vacuna contra la COVID-19. Se debe evitar una dosis posterior de cualquier vacuna contra COVID-19</w:t>
      </w:r>
      <w:r w:rsidRPr="008E7709">
        <w:rPr>
          <w:rFonts w:ascii="Open Sans" w:eastAsia="Times New Roman" w:hAnsi="Open Sans" w:cs="Times New Roman"/>
          <w:color w:val="444444"/>
          <w:sz w:val="24"/>
          <w:szCs w:val="24"/>
          <w:vertAlign w:val="superscript"/>
          <w:lang w:eastAsia="es-AR"/>
        </w:rPr>
        <w:t>10,11</w:t>
      </w:r>
      <w:r w:rsidRPr="008E7709">
        <w:rPr>
          <w:rFonts w:ascii="Open Sans" w:eastAsia="Times New Roman" w:hAnsi="Open Sans" w:cs="Times New Roman"/>
          <w:color w:val="444444"/>
          <w:sz w:val="24"/>
          <w:szCs w:val="24"/>
          <w:lang w:eastAsia="es-AR"/>
        </w:rPr>
        <w:t>.</w:t>
      </w:r>
    </w:p>
    <w:p w:rsidR="00AB0BA5" w:rsidRPr="008E7709" w:rsidRDefault="00AB0BA5" w:rsidP="00AB0BA5">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p>
    <w:p w:rsidR="00AB0BA5" w:rsidRDefault="008E7709" w:rsidP="00AB0BA5">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r w:rsidRPr="008E7709">
        <w:rPr>
          <w:rFonts w:ascii="inherit" w:eastAsia="Times New Roman" w:hAnsi="inherit" w:cs="Times New Roman"/>
          <w:b/>
          <w:bCs/>
          <w:color w:val="444444"/>
          <w:sz w:val="21"/>
          <w:szCs w:val="21"/>
          <w:bdr w:val="none" w:sz="0" w:space="0" w:color="auto" w:frame="1"/>
          <w:lang w:eastAsia="es-AR"/>
        </w:rPr>
        <w:t>VACUNA VIRUS SINCITIAL RESPIRATORIO</w:t>
      </w:r>
      <w:r w:rsidRPr="008E7709">
        <w:rPr>
          <w:rFonts w:ascii="Open Sans" w:eastAsia="Times New Roman" w:hAnsi="Open Sans" w:cs="Times New Roman"/>
          <w:color w:val="444444"/>
          <w:sz w:val="24"/>
          <w:szCs w:val="24"/>
          <w:lang w:eastAsia="es-AR"/>
        </w:rPr>
        <w:t> (VSR</w:t>
      </w:r>
      <w:proofErr w:type="gramStart"/>
      <w:r w:rsidRPr="008E7709">
        <w:rPr>
          <w:rFonts w:ascii="Open Sans" w:eastAsia="Times New Roman" w:hAnsi="Open Sans" w:cs="Times New Roman"/>
          <w:color w:val="444444"/>
          <w:sz w:val="24"/>
          <w:szCs w:val="24"/>
          <w:lang w:eastAsia="es-AR"/>
        </w:rPr>
        <w:t>)</w:t>
      </w:r>
      <w:r w:rsidRPr="008E7709">
        <w:rPr>
          <w:rFonts w:ascii="Open Sans" w:eastAsia="Times New Roman" w:hAnsi="Open Sans" w:cs="Times New Roman"/>
          <w:color w:val="444444"/>
          <w:sz w:val="24"/>
          <w:szCs w:val="24"/>
          <w:vertAlign w:val="superscript"/>
          <w:lang w:eastAsia="es-AR"/>
        </w:rPr>
        <w:t>12</w:t>
      </w:r>
      <w:proofErr w:type="gramEnd"/>
      <w:r w:rsidRPr="008E7709">
        <w:rPr>
          <w:rFonts w:ascii="Open Sans" w:eastAsia="Times New Roman" w:hAnsi="Open Sans" w:cs="Times New Roman"/>
          <w:color w:val="444444"/>
          <w:sz w:val="24"/>
          <w:szCs w:val="24"/>
          <w:vertAlign w:val="superscript"/>
          <w:lang w:eastAsia="es-AR"/>
        </w:rPr>
        <w:t>-21</w:t>
      </w:r>
    </w:p>
    <w:p w:rsidR="008E7709" w:rsidRPr="008E7709" w:rsidRDefault="00AB0BA5" w:rsidP="00AB0BA5">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r>
        <w:rPr>
          <w:rFonts w:ascii="Open Sans" w:eastAsia="Times New Roman" w:hAnsi="Open Sans" w:cs="Times New Roman"/>
          <w:color w:val="444444"/>
          <w:sz w:val="24"/>
          <w:szCs w:val="24"/>
          <w:lang w:eastAsia="es-AR"/>
        </w:rPr>
        <w:tab/>
      </w:r>
      <w:r w:rsidR="008E7709" w:rsidRPr="008E7709">
        <w:rPr>
          <w:rFonts w:ascii="Open Sans" w:eastAsia="Times New Roman" w:hAnsi="Open Sans" w:cs="Times New Roman"/>
          <w:color w:val="444444"/>
          <w:sz w:val="24"/>
          <w:szCs w:val="24"/>
          <w:lang w:eastAsia="es-AR"/>
        </w:rPr>
        <w:t>En Argentina se encuentran disponibles 2 vacunas con diferencias en sus indicaciones según marca comercial, aunque en todas las situaciones se indica dosis única.</w:t>
      </w:r>
      <w:r w:rsidR="008E7709" w:rsidRPr="008E7709">
        <w:rPr>
          <w:rFonts w:ascii="Open Sans" w:eastAsia="Times New Roman" w:hAnsi="Open Sans" w:cs="Times New Roman"/>
          <w:color w:val="444444"/>
          <w:sz w:val="24"/>
          <w:szCs w:val="24"/>
          <w:lang w:eastAsia="es-AR"/>
        </w:rPr>
        <w:br/>
      </w:r>
      <w:proofErr w:type="spellStart"/>
      <w:r w:rsidR="008E7709" w:rsidRPr="008E7709">
        <w:rPr>
          <w:rFonts w:ascii="inherit" w:eastAsia="Times New Roman" w:hAnsi="inherit" w:cs="Times New Roman"/>
          <w:b/>
          <w:bCs/>
          <w:color w:val="444444"/>
          <w:sz w:val="21"/>
          <w:szCs w:val="21"/>
          <w:bdr w:val="none" w:sz="0" w:space="0" w:color="auto" w:frame="1"/>
          <w:lang w:eastAsia="es-AR"/>
        </w:rPr>
        <w:t>Abrysvo</w:t>
      </w:r>
      <w:proofErr w:type="spellEnd"/>
      <w:r w:rsidR="008E7709" w:rsidRPr="008E7709">
        <w:rPr>
          <w:rFonts w:ascii="inherit" w:eastAsia="Times New Roman" w:hAnsi="inherit" w:cs="Times New Roman"/>
          <w:b/>
          <w:bCs/>
          <w:color w:val="444444"/>
          <w:sz w:val="21"/>
          <w:szCs w:val="21"/>
          <w:bdr w:val="none" w:sz="0" w:space="0" w:color="auto" w:frame="1"/>
          <w:lang w:eastAsia="es-AR"/>
        </w:rPr>
        <w:t xml:space="preserve"> (Pfizer)</w:t>
      </w:r>
      <w:r w:rsidR="008E7709" w:rsidRPr="008E7709">
        <w:rPr>
          <w:rFonts w:ascii="Open Sans" w:eastAsia="Times New Roman" w:hAnsi="Open Sans" w:cs="Times New Roman"/>
          <w:color w:val="444444"/>
          <w:sz w:val="24"/>
          <w:szCs w:val="24"/>
          <w:lang w:eastAsia="es-AR"/>
        </w:rPr>
        <w:t xml:space="preserve">: Vacuna recombinante proteica bivalente, la cual contiene 60 microgramos del antígeno F estabilizado en </w:t>
      </w:r>
      <w:proofErr w:type="spellStart"/>
      <w:r w:rsidR="008E7709" w:rsidRPr="008E7709">
        <w:rPr>
          <w:rFonts w:ascii="Open Sans" w:eastAsia="Times New Roman" w:hAnsi="Open Sans" w:cs="Times New Roman"/>
          <w:color w:val="444444"/>
          <w:sz w:val="24"/>
          <w:szCs w:val="24"/>
          <w:lang w:eastAsia="es-AR"/>
        </w:rPr>
        <w:t>prefusión</w:t>
      </w:r>
      <w:proofErr w:type="spellEnd"/>
      <w:r w:rsidR="008E7709" w:rsidRPr="008E7709">
        <w:rPr>
          <w:rFonts w:ascii="Open Sans" w:eastAsia="Times New Roman" w:hAnsi="Open Sans" w:cs="Times New Roman"/>
          <w:color w:val="444444"/>
          <w:sz w:val="24"/>
          <w:szCs w:val="24"/>
          <w:lang w:eastAsia="es-AR"/>
        </w:rPr>
        <w:t xml:space="preserve"> del subgrupo A del VRS y 60 microgramos del antígeno F estabilizado en </w:t>
      </w:r>
      <w:proofErr w:type="spellStart"/>
      <w:r w:rsidR="008E7709" w:rsidRPr="008E7709">
        <w:rPr>
          <w:rFonts w:ascii="Open Sans" w:eastAsia="Times New Roman" w:hAnsi="Open Sans" w:cs="Times New Roman"/>
          <w:color w:val="444444"/>
          <w:sz w:val="24"/>
          <w:szCs w:val="24"/>
          <w:lang w:eastAsia="es-AR"/>
        </w:rPr>
        <w:t>prefusión</w:t>
      </w:r>
      <w:proofErr w:type="spellEnd"/>
      <w:r w:rsidR="008E7709" w:rsidRPr="008E7709">
        <w:rPr>
          <w:rFonts w:ascii="Open Sans" w:eastAsia="Times New Roman" w:hAnsi="Open Sans" w:cs="Times New Roman"/>
          <w:color w:val="444444"/>
          <w:sz w:val="24"/>
          <w:szCs w:val="24"/>
          <w:lang w:eastAsia="es-AR"/>
        </w:rPr>
        <w:t xml:space="preserve"> del subgrupo B del VRS (120 microgramos totales de antígenos del VRS).</w:t>
      </w:r>
      <w:r w:rsidR="008E7709" w:rsidRPr="008E7709">
        <w:rPr>
          <w:rFonts w:ascii="Open Sans" w:eastAsia="Times New Roman" w:hAnsi="Open Sans" w:cs="Times New Roman"/>
          <w:color w:val="444444"/>
          <w:sz w:val="24"/>
          <w:szCs w:val="24"/>
          <w:lang w:eastAsia="es-AR"/>
        </w:rPr>
        <w:br/>
      </w:r>
      <w:r w:rsidR="008E7709" w:rsidRPr="008E7709">
        <w:rPr>
          <w:rFonts w:ascii="inherit" w:eastAsia="Times New Roman" w:hAnsi="inherit" w:cs="Times New Roman"/>
          <w:b/>
          <w:bCs/>
          <w:color w:val="444444"/>
          <w:sz w:val="21"/>
          <w:szCs w:val="21"/>
          <w:bdr w:val="none" w:sz="0" w:space="0" w:color="auto" w:frame="1"/>
          <w:lang w:eastAsia="es-AR"/>
        </w:rPr>
        <w:t>La vacuna ha demostrado protección al menos por 2 temporadas:</w:t>
      </w:r>
      <w:r w:rsidR="008E7709" w:rsidRPr="008E7709">
        <w:rPr>
          <w:rFonts w:ascii="Open Sans" w:eastAsia="Times New Roman" w:hAnsi="Open Sans" w:cs="Times New Roman"/>
          <w:color w:val="444444"/>
          <w:sz w:val="24"/>
          <w:szCs w:val="24"/>
          <w:lang w:eastAsia="es-AR"/>
        </w:rPr>
        <w:t> </w:t>
      </w:r>
      <w:proofErr w:type="spellStart"/>
      <w:r w:rsidR="008E7709" w:rsidRPr="008E7709">
        <w:rPr>
          <w:rFonts w:ascii="Open Sans" w:eastAsia="Times New Roman" w:hAnsi="Open Sans" w:cs="Times New Roman"/>
          <w:color w:val="444444"/>
          <w:sz w:val="24"/>
          <w:szCs w:val="24"/>
          <w:lang w:eastAsia="es-AR"/>
        </w:rPr>
        <w:t>Abrysvo</w:t>
      </w:r>
      <w:proofErr w:type="spellEnd"/>
      <w:r w:rsidR="008E7709" w:rsidRPr="008E7709">
        <w:rPr>
          <w:rFonts w:ascii="Open Sans" w:eastAsia="Times New Roman" w:hAnsi="Open Sans" w:cs="Times New Roman"/>
          <w:color w:val="444444"/>
          <w:sz w:val="24"/>
          <w:szCs w:val="24"/>
          <w:lang w:eastAsia="es-AR"/>
        </w:rPr>
        <w:t xml:space="preserve"> demostró alta eficacia frente a enfermedad del tracto respiratorio inferior (IRAB) por VRS, con un 88% en la primera temporada y un 77% en la segunda temporada postvacunación</w:t>
      </w:r>
      <w:r w:rsidR="008E7709" w:rsidRPr="008E7709">
        <w:rPr>
          <w:rFonts w:ascii="Open Sans" w:eastAsia="Times New Roman" w:hAnsi="Open Sans" w:cs="Times New Roman"/>
          <w:color w:val="444444"/>
          <w:sz w:val="24"/>
          <w:szCs w:val="24"/>
          <w:vertAlign w:val="superscript"/>
          <w:lang w:eastAsia="es-AR"/>
        </w:rPr>
        <w:t>23</w:t>
      </w:r>
      <w:r w:rsidR="008E7709" w:rsidRPr="008E7709">
        <w:rPr>
          <w:rFonts w:ascii="Open Sans" w:eastAsia="Times New Roman" w:hAnsi="Open Sans" w:cs="Times New Roman"/>
          <w:color w:val="444444"/>
          <w:sz w:val="24"/>
          <w:szCs w:val="24"/>
          <w:lang w:eastAsia="es-AR"/>
        </w:rPr>
        <w:t xml:space="preserve">. En vida real, los datos del KSPC mostraron una efectividad del 81% en la primera temporada y del 75% en la segunda, frente a hospitalización por IRAB asociada a VRS o visita a servicios de urgencias24. En términos de impacto poblacional, en Escocia se observó una reducción del 62% en las hospitalizaciones por VRS, con una cobertura </w:t>
      </w:r>
      <w:proofErr w:type="spellStart"/>
      <w:r w:rsidR="008E7709" w:rsidRPr="008E7709">
        <w:rPr>
          <w:rFonts w:ascii="Open Sans" w:eastAsia="Times New Roman" w:hAnsi="Open Sans" w:cs="Times New Roman"/>
          <w:color w:val="444444"/>
          <w:sz w:val="24"/>
          <w:szCs w:val="24"/>
          <w:lang w:eastAsia="es-AR"/>
        </w:rPr>
        <w:t>vacunal</w:t>
      </w:r>
      <w:proofErr w:type="spellEnd"/>
      <w:r w:rsidR="008E7709" w:rsidRPr="008E7709">
        <w:rPr>
          <w:rFonts w:ascii="Open Sans" w:eastAsia="Times New Roman" w:hAnsi="Open Sans" w:cs="Times New Roman"/>
          <w:color w:val="444444"/>
          <w:sz w:val="24"/>
          <w:szCs w:val="24"/>
          <w:lang w:eastAsia="es-AR"/>
        </w:rPr>
        <w:t xml:space="preserve"> del 68% luego del primer año de implementación en el programa nacional de inmunización</w:t>
      </w:r>
      <w:r w:rsidR="008E7709" w:rsidRPr="008E7709">
        <w:rPr>
          <w:rFonts w:ascii="Open Sans" w:eastAsia="Times New Roman" w:hAnsi="Open Sans" w:cs="Times New Roman"/>
          <w:color w:val="444444"/>
          <w:sz w:val="24"/>
          <w:szCs w:val="24"/>
          <w:vertAlign w:val="superscript"/>
          <w:lang w:eastAsia="es-AR"/>
        </w:rPr>
        <w:t>25</w:t>
      </w:r>
      <w:r w:rsidR="008E7709" w:rsidRPr="008E7709">
        <w:rPr>
          <w:rFonts w:ascii="Open Sans" w:eastAsia="Times New Roman" w:hAnsi="Open Sans" w:cs="Times New Roman"/>
          <w:color w:val="444444"/>
          <w:sz w:val="24"/>
          <w:szCs w:val="24"/>
          <w:lang w:eastAsia="es-AR"/>
        </w:rPr>
        <w:t>.</w:t>
      </w:r>
    </w:p>
    <w:p w:rsidR="00AB0BA5" w:rsidRDefault="00AB0BA5" w:rsidP="00AB0BA5">
      <w:pPr>
        <w:shd w:val="clear" w:color="auto" w:fill="FFFFFF"/>
        <w:spacing w:after="360" w:line="240" w:lineRule="auto"/>
        <w:jc w:val="both"/>
        <w:textAlignment w:val="baseline"/>
        <w:rPr>
          <w:rFonts w:ascii="Open Sans" w:eastAsia="Times New Roman" w:hAnsi="Open Sans" w:cs="Times New Roman"/>
          <w:color w:val="444444"/>
          <w:sz w:val="24"/>
          <w:szCs w:val="24"/>
          <w:lang w:eastAsia="es-AR"/>
        </w:rPr>
      </w:pPr>
      <w:r>
        <w:rPr>
          <w:rFonts w:ascii="Open Sans" w:eastAsia="Times New Roman" w:hAnsi="Open Sans" w:cs="Times New Roman"/>
          <w:color w:val="444444"/>
          <w:sz w:val="24"/>
          <w:szCs w:val="24"/>
          <w:lang w:eastAsia="es-AR"/>
        </w:rPr>
        <w:t>S</w:t>
      </w:r>
      <w:r w:rsidR="008E7709" w:rsidRPr="008E7709">
        <w:rPr>
          <w:rFonts w:ascii="Open Sans" w:eastAsia="Times New Roman" w:hAnsi="Open Sans" w:cs="Times New Roman"/>
          <w:color w:val="444444"/>
          <w:sz w:val="24"/>
          <w:szCs w:val="24"/>
          <w:lang w:eastAsia="es-AR"/>
        </w:rPr>
        <w:t>e recomienda vacunación:</w:t>
      </w:r>
    </w:p>
    <w:p w:rsidR="00AB0BA5" w:rsidRDefault="008E7709" w:rsidP="00AB0BA5">
      <w:pPr>
        <w:shd w:val="clear" w:color="auto" w:fill="FFFFFF"/>
        <w:spacing w:after="360" w:line="240" w:lineRule="auto"/>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 Embarazadas en semana 32 a 36 semanas, para prevenir la infección respiratoria aguda en recién nacidos y hasta los 6 meses de vida.</w:t>
      </w:r>
    </w:p>
    <w:p w:rsidR="00AB0BA5" w:rsidRDefault="008E7709" w:rsidP="00AB0BA5">
      <w:pPr>
        <w:shd w:val="clear" w:color="auto" w:fill="FFFFFF"/>
        <w:spacing w:after="360" w:line="240" w:lineRule="auto"/>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 xml:space="preserve">● Entre 18 y 59 años, en personas con factores de riesgo, pero con especial énfasis en diabetes, enfermedades cardiovasculares e </w:t>
      </w:r>
      <w:proofErr w:type="spellStart"/>
      <w:r w:rsidRPr="008E7709">
        <w:rPr>
          <w:rFonts w:ascii="Open Sans" w:eastAsia="Times New Roman" w:hAnsi="Open Sans" w:cs="Times New Roman"/>
          <w:color w:val="444444"/>
          <w:sz w:val="24"/>
          <w:szCs w:val="24"/>
          <w:lang w:eastAsia="es-AR"/>
        </w:rPr>
        <w:t>inmunocompromiso</w:t>
      </w:r>
      <w:proofErr w:type="spellEnd"/>
      <w:r w:rsidRPr="008E7709">
        <w:rPr>
          <w:rFonts w:ascii="Open Sans" w:eastAsia="Times New Roman" w:hAnsi="Open Sans" w:cs="Times New Roman"/>
          <w:color w:val="444444"/>
          <w:sz w:val="24"/>
          <w:szCs w:val="24"/>
          <w:lang w:eastAsia="es-AR"/>
        </w:rPr>
        <w:t>.</w:t>
      </w:r>
    </w:p>
    <w:p w:rsidR="008E7709" w:rsidRPr="008E7709" w:rsidRDefault="008E7709" w:rsidP="00AB0BA5">
      <w:pPr>
        <w:shd w:val="clear" w:color="auto" w:fill="FFFFFF"/>
        <w:spacing w:after="360" w:line="240" w:lineRule="auto"/>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 &gt; 60 años.</w:t>
      </w:r>
    </w:p>
    <w:p w:rsidR="00AB0BA5" w:rsidRDefault="008E7709" w:rsidP="00AB0BA5">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proofErr w:type="spellStart"/>
      <w:r w:rsidRPr="008E7709">
        <w:rPr>
          <w:rFonts w:ascii="inherit" w:eastAsia="Times New Roman" w:hAnsi="inherit" w:cs="Times New Roman"/>
          <w:b/>
          <w:bCs/>
          <w:color w:val="444444"/>
          <w:sz w:val="21"/>
          <w:szCs w:val="21"/>
          <w:bdr w:val="none" w:sz="0" w:space="0" w:color="auto" w:frame="1"/>
          <w:lang w:eastAsia="es-AR"/>
        </w:rPr>
        <w:t>Arexvy</w:t>
      </w:r>
      <w:proofErr w:type="spellEnd"/>
      <w:r w:rsidRPr="008E7709">
        <w:rPr>
          <w:rFonts w:ascii="inherit" w:eastAsia="Times New Roman" w:hAnsi="inherit" w:cs="Times New Roman"/>
          <w:b/>
          <w:bCs/>
          <w:color w:val="444444"/>
          <w:sz w:val="21"/>
          <w:szCs w:val="21"/>
          <w:bdr w:val="none" w:sz="0" w:space="0" w:color="auto" w:frame="1"/>
          <w:lang w:eastAsia="es-AR"/>
        </w:rPr>
        <w:t xml:space="preserve"> (</w:t>
      </w:r>
      <w:proofErr w:type="spellStart"/>
      <w:r w:rsidRPr="008E7709">
        <w:rPr>
          <w:rFonts w:ascii="inherit" w:eastAsia="Times New Roman" w:hAnsi="inherit" w:cs="Times New Roman"/>
          <w:b/>
          <w:bCs/>
          <w:color w:val="444444"/>
          <w:sz w:val="21"/>
          <w:szCs w:val="21"/>
          <w:bdr w:val="none" w:sz="0" w:space="0" w:color="auto" w:frame="1"/>
          <w:lang w:eastAsia="es-AR"/>
        </w:rPr>
        <w:t>Glaxo</w:t>
      </w:r>
      <w:proofErr w:type="spellEnd"/>
      <w:r w:rsidRPr="008E7709">
        <w:rPr>
          <w:rFonts w:ascii="inherit" w:eastAsia="Times New Roman" w:hAnsi="inherit" w:cs="Times New Roman"/>
          <w:b/>
          <w:bCs/>
          <w:color w:val="444444"/>
          <w:sz w:val="21"/>
          <w:szCs w:val="21"/>
          <w:bdr w:val="none" w:sz="0" w:space="0" w:color="auto" w:frame="1"/>
          <w:lang w:eastAsia="es-AR"/>
        </w:rPr>
        <w:t>):</w:t>
      </w:r>
      <w:r w:rsidRPr="008E7709">
        <w:rPr>
          <w:rFonts w:ascii="Open Sans" w:eastAsia="Times New Roman" w:hAnsi="Open Sans" w:cs="Times New Roman"/>
          <w:color w:val="444444"/>
          <w:sz w:val="24"/>
          <w:szCs w:val="24"/>
          <w:lang w:eastAsia="es-AR"/>
        </w:rPr>
        <w:t xml:space="preserve"> Glicoproteína F recombinante del virus respiratorio </w:t>
      </w:r>
      <w:proofErr w:type="spellStart"/>
      <w:r w:rsidRPr="008E7709">
        <w:rPr>
          <w:rFonts w:ascii="Open Sans" w:eastAsia="Times New Roman" w:hAnsi="Open Sans" w:cs="Times New Roman"/>
          <w:color w:val="444444"/>
          <w:sz w:val="24"/>
          <w:szCs w:val="24"/>
          <w:lang w:eastAsia="es-AR"/>
        </w:rPr>
        <w:t>sincitial</w:t>
      </w:r>
      <w:proofErr w:type="spellEnd"/>
      <w:r w:rsidRPr="008E7709">
        <w:rPr>
          <w:rFonts w:ascii="Open Sans" w:eastAsia="Times New Roman" w:hAnsi="Open Sans" w:cs="Times New Roman"/>
          <w:color w:val="444444"/>
          <w:sz w:val="24"/>
          <w:szCs w:val="24"/>
          <w:lang w:eastAsia="es-AR"/>
        </w:rPr>
        <w:t xml:space="preserve"> estabilizada en la conformación de </w:t>
      </w:r>
      <w:proofErr w:type="spellStart"/>
      <w:r w:rsidRPr="008E7709">
        <w:rPr>
          <w:rFonts w:ascii="Open Sans" w:eastAsia="Times New Roman" w:hAnsi="Open Sans" w:cs="Times New Roman"/>
          <w:color w:val="444444"/>
          <w:sz w:val="24"/>
          <w:szCs w:val="24"/>
          <w:lang w:eastAsia="es-AR"/>
        </w:rPr>
        <w:t>prefusión</w:t>
      </w:r>
      <w:proofErr w:type="spellEnd"/>
      <w:r w:rsidRPr="008E7709">
        <w:rPr>
          <w:rFonts w:ascii="Open Sans" w:eastAsia="Times New Roman" w:hAnsi="Open Sans" w:cs="Times New Roman"/>
          <w:color w:val="444444"/>
          <w:sz w:val="24"/>
          <w:szCs w:val="24"/>
          <w:lang w:eastAsia="es-AR"/>
        </w:rPr>
        <w:t xml:space="preserve"> = VRSPreF3, antígeno producido en células de ovario de hámster chino (OHC) mediante tecnología del ADN recombinante (monovalente A recombinante).</w:t>
      </w:r>
      <w:r w:rsidRPr="008E7709">
        <w:rPr>
          <w:rFonts w:ascii="Open Sans" w:eastAsia="Times New Roman" w:hAnsi="Open Sans" w:cs="Times New Roman"/>
          <w:color w:val="444444"/>
          <w:sz w:val="24"/>
          <w:szCs w:val="24"/>
          <w:lang w:eastAsia="es-AR"/>
        </w:rPr>
        <w:br/>
        <w:t>Se recomienda vacunación:</w:t>
      </w:r>
    </w:p>
    <w:p w:rsidR="00AB0BA5" w:rsidRDefault="008E7709" w:rsidP="00AB0BA5">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 xml:space="preserve">● 50 a 59 años con factores de riesgo e </w:t>
      </w:r>
      <w:proofErr w:type="spellStart"/>
      <w:r w:rsidRPr="008E7709">
        <w:rPr>
          <w:rFonts w:ascii="Open Sans" w:eastAsia="Times New Roman" w:hAnsi="Open Sans" w:cs="Times New Roman"/>
          <w:color w:val="444444"/>
          <w:sz w:val="24"/>
          <w:szCs w:val="24"/>
          <w:lang w:eastAsia="es-AR"/>
        </w:rPr>
        <w:t>inmunocompromiso</w:t>
      </w:r>
      <w:proofErr w:type="spellEnd"/>
      <w:r w:rsidRPr="008E7709">
        <w:rPr>
          <w:rFonts w:ascii="Open Sans" w:eastAsia="Times New Roman" w:hAnsi="Open Sans" w:cs="Times New Roman"/>
          <w:color w:val="444444"/>
          <w:sz w:val="24"/>
          <w:szCs w:val="24"/>
          <w:lang w:eastAsia="es-AR"/>
        </w:rPr>
        <w:t>.</w:t>
      </w:r>
    </w:p>
    <w:p w:rsidR="008E7709" w:rsidRPr="008E7709" w:rsidRDefault="008E7709" w:rsidP="00AB0BA5">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 &gt; 60 años</w:t>
      </w:r>
    </w:p>
    <w:p w:rsidR="00AB0BA5" w:rsidRDefault="008E7709" w:rsidP="00AB0BA5">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r w:rsidRPr="008E7709">
        <w:rPr>
          <w:rFonts w:ascii="inherit" w:eastAsia="Times New Roman" w:hAnsi="inherit" w:cs="Times New Roman"/>
          <w:b/>
          <w:bCs/>
          <w:color w:val="444444"/>
          <w:sz w:val="21"/>
          <w:szCs w:val="21"/>
          <w:bdr w:val="none" w:sz="0" w:space="0" w:color="auto" w:frame="1"/>
          <w:lang w:eastAsia="es-AR"/>
        </w:rPr>
        <w:lastRenderedPageBreak/>
        <w:t>Eventos Adversos:</w:t>
      </w:r>
      <w:r w:rsidRPr="008E7709">
        <w:rPr>
          <w:rFonts w:ascii="Open Sans" w:eastAsia="Times New Roman" w:hAnsi="Open Sans" w:cs="Times New Roman"/>
          <w:color w:val="444444"/>
          <w:sz w:val="24"/>
          <w:szCs w:val="24"/>
          <w:lang w:eastAsia="es-AR"/>
        </w:rPr>
        <w:t xml:space="preserve"> tiene un perfil de seguridad similar a otras vacunas para adultos, tales como influenza y COVID-19. Los más comunes son leves y </w:t>
      </w:r>
      <w:proofErr w:type="spellStart"/>
      <w:r w:rsidRPr="008E7709">
        <w:rPr>
          <w:rFonts w:ascii="Open Sans" w:eastAsia="Times New Roman" w:hAnsi="Open Sans" w:cs="Times New Roman"/>
          <w:color w:val="444444"/>
          <w:sz w:val="24"/>
          <w:szCs w:val="24"/>
          <w:lang w:eastAsia="es-AR"/>
        </w:rPr>
        <w:t>autolimitados</w:t>
      </w:r>
      <w:proofErr w:type="spellEnd"/>
      <w:r w:rsidRPr="008E7709">
        <w:rPr>
          <w:rFonts w:ascii="Open Sans" w:eastAsia="Times New Roman" w:hAnsi="Open Sans" w:cs="Times New Roman"/>
          <w:color w:val="444444"/>
          <w:sz w:val="24"/>
          <w:szCs w:val="24"/>
          <w:lang w:eastAsia="es-AR"/>
        </w:rPr>
        <w:t xml:space="preserve"> (entre 24- 72 </w:t>
      </w:r>
      <w:proofErr w:type="spellStart"/>
      <w:r w:rsidRPr="008E7709">
        <w:rPr>
          <w:rFonts w:ascii="Open Sans" w:eastAsia="Times New Roman" w:hAnsi="Open Sans" w:cs="Times New Roman"/>
          <w:color w:val="444444"/>
          <w:sz w:val="24"/>
          <w:szCs w:val="24"/>
          <w:lang w:eastAsia="es-AR"/>
        </w:rPr>
        <w:t>hs</w:t>
      </w:r>
      <w:proofErr w:type="spellEnd"/>
      <w:r w:rsidRPr="008E7709">
        <w:rPr>
          <w:rFonts w:ascii="Open Sans" w:eastAsia="Times New Roman" w:hAnsi="Open Sans" w:cs="Times New Roman"/>
          <w:color w:val="444444"/>
          <w:sz w:val="24"/>
          <w:szCs w:val="24"/>
          <w:lang w:eastAsia="es-AR"/>
        </w:rPr>
        <w:t xml:space="preserve"> luego de la colocación) relacionados a la </w:t>
      </w:r>
      <w:proofErr w:type="spellStart"/>
      <w:r w:rsidRPr="008E7709">
        <w:rPr>
          <w:rFonts w:ascii="Open Sans" w:eastAsia="Times New Roman" w:hAnsi="Open Sans" w:cs="Times New Roman"/>
          <w:color w:val="444444"/>
          <w:sz w:val="24"/>
          <w:szCs w:val="24"/>
          <w:lang w:eastAsia="es-AR"/>
        </w:rPr>
        <w:t>reactogenicidad</w:t>
      </w:r>
      <w:proofErr w:type="spellEnd"/>
      <w:r w:rsidRPr="008E7709">
        <w:rPr>
          <w:rFonts w:ascii="Open Sans" w:eastAsia="Times New Roman" w:hAnsi="Open Sans" w:cs="Times New Roman"/>
          <w:color w:val="444444"/>
          <w:sz w:val="24"/>
          <w:szCs w:val="24"/>
          <w:lang w:eastAsia="es-AR"/>
        </w:rPr>
        <w:t xml:space="preserve"> de la vacuna:</w:t>
      </w:r>
    </w:p>
    <w:p w:rsidR="008E7709" w:rsidRDefault="008E7709" w:rsidP="00AB0BA5">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r w:rsidRPr="008E7709">
        <w:rPr>
          <w:rFonts w:ascii="inherit" w:eastAsia="Times New Roman" w:hAnsi="inherit" w:cs="Times New Roman"/>
          <w:b/>
          <w:bCs/>
          <w:color w:val="444444"/>
          <w:sz w:val="21"/>
          <w:szCs w:val="21"/>
          <w:bdr w:val="none" w:sz="0" w:space="0" w:color="auto" w:frame="1"/>
          <w:lang w:eastAsia="es-AR"/>
        </w:rPr>
        <w:t>Locales</w:t>
      </w:r>
      <w:r w:rsidRPr="008E7709">
        <w:rPr>
          <w:rFonts w:ascii="Open Sans" w:eastAsia="Times New Roman" w:hAnsi="Open Sans" w:cs="Times New Roman"/>
          <w:color w:val="444444"/>
          <w:sz w:val="24"/>
          <w:szCs w:val="24"/>
          <w:lang w:eastAsia="es-AR"/>
        </w:rPr>
        <w:t>: Dolor en sitio de inyección (el más frecuente), eritema, induración / tumefacción</w:t>
      </w:r>
      <w:r w:rsidRPr="008E7709">
        <w:rPr>
          <w:rFonts w:ascii="Open Sans" w:eastAsia="Times New Roman" w:hAnsi="Open Sans" w:cs="Times New Roman"/>
          <w:color w:val="444444"/>
          <w:sz w:val="24"/>
          <w:szCs w:val="24"/>
          <w:lang w:eastAsia="es-AR"/>
        </w:rPr>
        <w:br/>
        <w:t xml:space="preserve">Sistémicos: fatiga, cefalea mialgias artralgias, náuseas (más reportado con </w:t>
      </w:r>
      <w:proofErr w:type="spellStart"/>
      <w:r w:rsidRPr="008E7709">
        <w:rPr>
          <w:rFonts w:ascii="Open Sans" w:eastAsia="Times New Roman" w:hAnsi="Open Sans" w:cs="Times New Roman"/>
          <w:color w:val="444444"/>
          <w:sz w:val="24"/>
          <w:szCs w:val="24"/>
          <w:lang w:eastAsia="es-AR"/>
        </w:rPr>
        <w:t>Abrysvo</w:t>
      </w:r>
      <w:proofErr w:type="spellEnd"/>
      <w:r w:rsidRPr="008E7709">
        <w:rPr>
          <w:rFonts w:ascii="Open Sans" w:eastAsia="Times New Roman" w:hAnsi="Open Sans" w:cs="Times New Roman"/>
          <w:color w:val="444444"/>
          <w:sz w:val="24"/>
          <w:szCs w:val="24"/>
          <w:lang w:eastAsia="es-AR"/>
        </w:rPr>
        <w:t>) y fiebre (ocasional)</w:t>
      </w:r>
      <w:r w:rsidRPr="008E7709">
        <w:rPr>
          <w:rFonts w:ascii="Open Sans" w:eastAsia="Times New Roman" w:hAnsi="Open Sans" w:cs="Times New Roman"/>
          <w:color w:val="444444"/>
          <w:sz w:val="24"/>
          <w:szCs w:val="24"/>
          <w:lang w:eastAsia="es-AR"/>
        </w:rPr>
        <w:br/>
      </w:r>
      <w:r w:rsidRPr="008E7709">
        <w:rPr>
          <w:rFonts w:ascii="inherit" w:eastAsia="Times New Roman" w:hAnsi="inherit" w:cs="Times New Roman"/>
          <w:b/>
          <w:bCs/>
          <w:color w:val="444444"/>
          <w:sz w:val="21"/>
          <w:szCs w:val="21"/>
          <w:bdr w:val="none" w:sz="0" w:space="0" w:color="auto" w:frame="1"/>
          <w:lang w:eastAsia="es-AR"/>
        </w:rPr>
        <w:t>Contraindicaciones</w:t>
      </w:r>
      <w:r w:rsidRPr="008E7709">
        <w:rPr>
          <w:rFonts w:ascii="Open Sans" w:eastAsia="Times New Roman" w:hAnsi="Open Sans" w:cs="Times New Roman"/>
          <w:color w:val="444444"/>
          <w:sz w:val="24"/>
          <w:szCs w:val="24"/>
          <w:lang w:eastAsia="es-AR"/>
        </w:rPr>
        <w:t xml:space="preserve">: Anafilaxia o alergia conocida a componentes de la vacuna o antecedentes de </w:t>
      </w:r>
      <w:proofErr w:type="spellStart"/>
      <w:r w:rsidRPr="008E7709">
        <w:rPr>
          <w:rFonts w:ascii="Open Sans" w:eastAsia="Times New Roman" w:hAnsi="Open Sans" w:cs="Times New Roman"/>
          <w:color w:val="444444"/>
          <w:sz w:val="24"/>
          <w:szCs w:val="24"/>
          <w:lang w:eastAsia="es-AR"/>
        </w:rPr>
        <w:t>Guillain</w:t>
      </w:r>
      <w:proofErr w:type="spellEnd"/>
      <w:r w:rsidRPr="008E7709">
        <w:rPr>
          <w:rFonts w:ascii="Open Sans" w:eastAsia="Times New Roman" w:hAnsi="Open Sans" w:cs="Times New Roman"/>
          <w:color w:val="444444"/>
          <w:sz w:val="24"/>
          <w:szCs w:val="24"/>
          <w:lang w:eastAsia="es-AR"/>
        </w:rPr>
        <w:t xml:space="preserve"> Barré.</w:t>
      </w:r>
    </w:p>
    <w:p w:rsidR="00AB0BA5" w:rsidRPr="008E7709" w:rsidRDefault="00AB0BA5" w:rsidP="00AB0BA5">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p>
    <w:p w:rsidR="00AB0BA5" w:rsidRDefault="008E7709" w:rsidP="00AB0BA5">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r w:rsidRPr="008E7709">
        <w:rPr>
          <w:rFonts w:ascii="inherit" w:eastAsia="Times New Roman" w:hAnsi="inherit" w:cs="Times New Roman"/>
          <w:b/>
          <w:bCs/>
          <w:color w:val="444444"/>
          <w:sz w:val="21"/>
          <w:szCs w:val="21"/>
          <w:bdr w:val="none" w:sz="0" w:space="0" w:color="auto" w:frame="1"/>
          <w:lang w:eastAsia="es-AR"/>
        </w:rPr>
        <w:t>Coadministración</w:t>
      </w:r>
      <w:r w:rsidRPr="008E7709">
        <w:rPr>
          <w:rFonts w:ascii="Open Sans" w:eastAsia="Times New Roman" w:hAnsi="Open Sans" w:cs="Times New Roman"/>
          <w:color w:val="444444"/>
          <w:sz w:val="24"/>
          <w:szCs w:val="24"/>
          <w:lang w:eastAsia="es-AR"/>
        </w:rPr>
        <w:br/>
      </w:r>
      <w:r w:rsidR="00AB0BA5">
        <w:rPr>
          <w:rFonts w:ascii="Open Sans" w:eastAsia="Times New Roman" w:hAnsi="Open Sans" w:cs="Times New Roman"/>
          <w:color w:val="444444"/>
          <w:sz w:val="24"/>
          <w:szCs w:val="24"/>
          <w:lang w:eastAsia="es-AR"/>
        </w:rPr>
        <w:tab/>
      </w:r>
      <w:r w:rsidRPr="008E7709">
        <w:rPr>
          <w:rFonts w:ascii="Open Sans" w:eastAsia="Times New Roman" w:hAnsi="Open Sans" w:cs="Times New Roman"/>
          <w:color w:val="444444"/>
          <w:sz w:val="24"/>
          <w:szCs w:val="24"/>
          <w:lang w:eastAsia="es-AR"/>
        </w:rPr>
        <w:t xml:space="preserve">Las vacunas antigripales pueden </w:t>
      </w:r>
      <w:proofErr w:type="spellStart"/>
      <w:r w:rsidRPr="008E7709">
        <w:rPr>
          <w:rFonts w:ascii="Open Sans" w:eastAsia="Times New Roman" w:hAnsi="Open Sans" w:cs="Times New Roman"/>
          <w:color w:val="444444"/>
          <w:sz w:val="24"/>
          <w:szCs w:val="24"/>
          <w:lang w:eastAsia="es-AR"/>
        </w:rPr>
        <w:t>coadministrarse</w:t>
      </w:r>
      <w:proofErr w:type="spellEnd"/>
      <w:r w:rsidRPr="008E7709">
        <w:rPr>
          <w:rFonts w:ascii="Open Sans" w:eastAsia="Times New Roman" w:hAnsi="Open Sans" w:cs="Times New Roman"/>
          <w:color w:val="444444"/>
          <w:sz w:val="24"/>
          <w:szCs w:val="24"/>
          <w:lang w:eastAsia="es-AR"/>
        </w:rPr>
        <w:t xml:space="preserve"> junto con otras vacunas. En estos casos deben aplicarse con una distancia mínima de 2,5 cm entre una y otra vacuna</w:t>
      </w:r>
      <w:r w:rsidRPr="008E7709">
        <w:rPr>
          <w:rFonts w:ascii="Open Sans" w:eastAsia="Times New Roman" w:hAnsi="Open Sans" w:cs="Times New Roman"/>
          <w:color w:val="444444"/>
          <w:sz w:val="24"/>
          <w:szCs w:val="24"/>
          <w:vertAlign w:val="superscript"/>
          <w:lang w:eastAsia="es-AR"/>
        </w:rPr>
        <w:t>1</w:t>
      </w:r>
      <w:proofErr w:type="gramStart"/>
      <w:r w:rsidRPr="008E7709">
        <w:rPr>
          <w:rFonts w:ascii="Open Sans" w:eastAsia="Times New Roman" w:hAnsi="Open Sans" w:cs="Times New Roman"/>
          <w:color w:val="444444"/>
          <w:sz w:val="24"/>
          <w:szCs w:val="24"/>
          <w:vertAlign w:val="superscript"/>
          <w:lang w:eastAsia="es-AR"/>
        </w:rPr>
        <w:t>,2</w:t>
      </w:r>
      <w:proofErr w:type="gramEnd"/>
      <w:r w:rsidRPr="008E7709">
        <w:rPr>
          <w:rFonts w:ascii="Open Sans" w:eastAsia="Times New Roman" w:hAnsi="Open Sans" w:cs="Times New Roman"/>
          <w:color w:val="444444"/>
          <w:sz w:val="24"/>
          <w:szCs w:val="24"/>
          <w:lang w:eastAsia="es-AR"/>
        </w:rPr>
        <w:t>.</w:t>
      </w:r>
      <w:r w:rsidRPr="008E7709">
        <w:rPr>
          <w:rFonts w:ascii="Open Sans" w:eastAsia="Times New Roman" w:hAnsi="Open Sans" w:cs="Times New Roman"/>
          <w:color w:val="444444"/>
          <w:sz w:val="24"/>
          <w:szCs w:val="24"/>
          <w:lang w:eastAsia="es-AR"/>
        </w:rPr>
        <w:br/>
        <w:t xml:space="preserve">La vacuna COMIRNATY JN.1 (Pfizer) puede </w:t>
      </w:r>
      <w:proofErr w:type="spellStart"/>
      <w:r w:rsidRPr="008E7709">
        <w:rPr>
          <w:rFonts w:ascii="Open Sans" w:eastAsia="Times New Roman" w:hAnsi="Open Sans" w:cs="Times New Roman"/>
          <w:color w:val="444444"/>
          <w:sz w:val="24"/>
          <w:szCs w:val="24"/>
          <w:lang w:eastAsia="es-AR"/>
        </w:rPr>
        <w:t>coadministrarse</w:t>
      </w:r>
      <w:proofErr w:type="spellEnd"/>
      <w:r w:rsidRPr="008E7709">
        <w:rPr>
          <w:rFonts w:ascii="Open Sans" w:eastAsia="Times New Roman" w:hAnsi="Open Sans" w:cs="Times New Roman"/>
          <w:color w:val="444444"/>
          <w:sz w:val="24"/>
          <w:szCs w:val="24"/>
          <w:lang w:eastAsia="es-AR"/>
        </w:rPr>
        <w:t xml:space="preserve"> junto con otras vacunas en diferentes sitios anatómicos, incluyendo las del Calendario Nacional. En el caso de la vacuna contra la Fiebre Hemorrágica Argentina, a la fecha no se dispone de información, por lo tanto, se debe respetar un intervalo de 30 días</w:t>
      </w:r>
      <w:r w:rsidRPr="008E7709">
        <w:rPr>
          <w:rFonts w:ascii="Open Sans" w:eastAsia="Times New Roman" w:hAnsi="Open Sans" w:cs="Times New Roman"/>
          <w:color w:val="444444"/>
          <w:sz w:val="24"/>
          <w:szCs w:val="24"/>
          <w:vertAlign w:val="superscript"/>
          <w:lang w:eastAsia="es-AR"/>
        </w:rPr>
        <w:t>11</w:t>
      </w:r>
      <w:r w:rsidRPr="008E7709">
        <w:rPr>
          <w:rFonts w:ascii="Open Sans" w:eastAsia="Times New Roman" w:hAnsi="Open Sans" w:cs="Times New Roman"/>
          <w:color w:val="444444"/>
          <w:sz w:val="24"/>
          <w:szCs w:val="24"/>
          <w:lang w:eastAsia="es-AR"/>
        </w:rPr>
        <w:t>.</w:t>
      </w:r>
    </w:p>
    <w:p w:rsidR="008E7709" w:rsidRDefault="008E7709" w:rsidP="00AB0BA5">
      <w:pPr>
        <w:shd w:val="clear" w:color="auto" w:fill="FFFFFF"/>
        <w:spacing w:after="0" w:line="240" w:lineRule="auto"/>
        <w:jc w:val="both"/>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 xml:space="preserve">Las vacunas para VSR pueden ser </w:t>
      </w:r>
      <w:proofErr w:type="spellStart"/>
      <w:r w:rsidRPr="008E7709">
        <w:rPr>
          <w:rFonts w:ascii="Open Sans" w:eastAsia="Times New Roman" w:hAnsi="Open Sans" w:cs="Times New Roman"/>
          <w:color w:val="444444"/>
          <w:sz w:val="24"/>
          <w:szCs w:val="24"/>
          <w:lang w:eastAsia="es-AR"/>
        </w:rPr>
        <w:t>co</w:t>
      </w:r>
      <w:proofErr w:type="spellEnd"/>
      <w:r w:rsidR="00AB0BA5">
        <w:rPr>
          <w:rFonts w:ascii="Open Sans" w:eastAsia="Times New Roman" w:hAnsi="Open Sans" w:cs="Times New Roman"/>
          <w:color w:val="444444"/>
          <w:sz w:val="24"/>
          <w:szCs w:val="24"/>
          <w:lang w:eastAsia="es-AR"/>
        </w:rPr>
        <w:t>-</w:t>
      </w:r>
      <w:r w:rsidRPr="008E7709">
        <w:rPr>
          <w:rFonts w:ascii="Open Sans" w:eastAsia="Times New Roman" w:hAnsi="Open Sans" w:cs="Times New Roman"/>
          <w:color w:val="444444"/>
          <w:sz w:val="24"/>
          <w:szCs w:val="24"/>
          <w:lang w:eastAsia="es-AR"/>
        </w:rPr>
        <w:t>administradas con otras vacunas.</w:t>
      </w:r>
    </w:p>
    <w:p w:rsidR="00AB0BA5" w:rsidRPr="008E7709" w:rsidRDefault="00AB0BA5" w:rsidP="008E7709">
      <w:pPr>
        <w:shd w:val="clear" w:color="auto" w:fill="FFFFFF"/>
        <w:spacing w:after="0" w:line="240" w:lineRule="auto"/>
        <w:textAlignment w:val="baseline"/>
        <w:rPr>
          <w:rFonts w:ascii="Open Sans" w:eastAsia="Times New Roman" w:hAnsi="Open Sans" w:cs="Times New Roman"/>
          <w:color w:val="444444"/>
          <w:sz w:val="24"/>
          <w:szCs w:val="24"/>
          <w:lang w:eastAsia="es-AR"/>
        </w:rPr>
      </w:pPr>
    </w:p>
    <w:p w:rsidR="008E7709" w:rsidRDefault="008E7709" w:rsidP="008E7709">
      <w:pPr>
        <w:shd w:val="clear" w:color="auto" w:fill="FFFFFF"/>
        <w:spacing w:after="0" w:line="240" w:lineRule="auto"/>
        <w:textAlignment w:val="baseline"/>
        <w:rPr>
          <w:rFonts w:ascii="inherit" w:eastAsia="Times New Roman" w:hAnsi="inherit" w:cs="Times New Roman"/>
          <w:b/>
          <w:bCs/>
          <w:color w:val="444444"/>
          <w:sz w:val="21"/>
          <w:szCs w:val="21"/>
          <w:bdr w:val="none" w:sz="0" w:space="0" w:color="auto" w:frame="1"/>
          <w:lang w:eastAsia="es-AR"/>
        </w:rPr>
      </w:pPr>
      <w:r w:rsidRPr="008E7709">
        <w:rPr>
          <w:rFonts w:ascii="inherit" w:eastAsia="Times New Roman" w:hAnsi="inherit" w:cs="Times New Roman"/>
          <w:b/>
          <w:bCs/>
          <w:color w:val="444444"/>
          <w:sz w:val="21"/>
          <w:szCs w:val="21"/>
          <w:bdr w:val="none" w:sz="0" w:space="0" w:color="auto" w:frame="1"/>
          <w:lang w:eastAsia="es-AR"/>
        </w:rPr>
        <w:t>Cuadro resumen de recomendaciones de Vacunas:</w:t>
      </w:r>
    </w:p>
    <w:p w:rsidR="00D63273" w:rsidRPr="008E7709" w:rsidRDefault="00D63273" w:rsidP="008E7709">
      <w:pPr>
        <w:shd w:val="clear" w:color="auto" w:fill="FFFFFF"/>
        <w:spacing w:after="0" w:line="240" w:lineRule="auto"/>
        <w:textAlignment w:val="baseline"/>
        <w:rPr>
          <w:rFonts w:ascii="Open Sans" w:eastAsia="Times New Roman" w:hAnsi="Open Sans" w:cs="Times New Roman"/>
          <w:color w:val="444444"/>
          <w:sz w:val="24"/>
          <w:szCs w:val="24"/>
          <w:lang w:eastAsia="es-AR"/>
        </w:rPr>
      </w:pPr>
    </w:p>
    <w:p w:rsidR="008E7709" w:rsidRPr="008E7709" w:rsidRDefault="008E7709" w:rsidP="008E7709">
      <w:pPr>
        <w:spacing w:after="0" w:line="240" w:lineRule="auto"/>
        <w:rPr>
          <w:rFonts w:ascii="Times New Roman" w:eastAsia="Times New Roman" w:hAnsi="Times New Roman" w:cs="Times New Roman"/>
          <w:sz w:val="24"/>
          <w:szCs w:val="24"/>
          <w:lang w:eastAsia="es-AR"/>
        </w:rPr>
      </w:pPr>
      <w:r w:rsidRPr="008E7709">
        <w:rPr>
          <w:rFonts w:ascii="Times New Roman" w:eastAsia="Times New Roman" w:hAnsi="Times New Roman" w:cs="Times New Roman"/>
          <w:noProof/>
          <w:sz w:val="24"/>
          <w:szCs w:val="24"/>
          <w:lang w:eastAsia="es-AR"/>
        </w:rPr>
        <w:drawing>
          <wp:inline distT="0" distB="0" distL="0" distR="0">
            <wp:extent cx="4752975" cy="4200525"/>
            <wp:effectExtent l="0" t="0" r="9525" b="9525"/>
            <wp:docPr id="1" name="Imagen 1" descr="https://siccordoba.com/wp-content/uploads/2026/07/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iccordoba.com/wp-content/uploads/2026/07/imag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52975" cy="4200525"/>
                    </a:xfrm>
                    <a:prstGeom prst="rect">
                      <a:avLst/>
                    </a:prstGeom>
                    <a:noFill/>
                    <a:ln>
                      <a:noFill/>
                    </a:ln>
                  </pic:spPr>
                </pic:pic>
              </a:graphicData>
            </a:graphic>
          </wp:inline>
        </w:drawing>
      </w:r>
    </w:p>
    <w:p w:rsidR="00AB0BA5" w:rsidRDefault="00AB0BA5" w:rsidP="008E7709">
      <w:pPr>
        <w:shd w:val="clear" w:color="auto" w:fill="FFFFFF"/>
        <w:spacing w:after="0" w:line="240" w:lineRule="auto"/>
        <w:textAlignment w:val="baseline"/>
        <w:rPr>
          <w:rFonts w:ascii="inherit" w:eastAsia="Times New Roman" w:hAnsi="inherit" w:cs="Times New Roman"/>
          <w:b/>
          <w:bCs/>
          <w:color w:val="444444"/>
          <w:sz w:val="21"/>
          <w:szCs w:val="21"/>
          <w:bdr w:val="none" w:sz="0" w:space="0" w:color="auto" w:frame="1"/>
          <w:lang w:eastAsia="es-AR"/>
        </w:rPr>
      </w:pPr>
    </w:p>
    <w:p w:rsidR="00AB0BA5" w:rsidRDefault="008E7709" w:rsidP="008E7709">
      <w:pPr>
        <w:shd w:val="clear" w:color="auto" w:fill="FFFFFF"/>
        <w:spacing w:after="0" w:line="240" w:lineRule="auto"/>
        <w:textAlignment w:val="baseline"/>
        <w:rPr>
          <w:rFonts w:ascii="Open Sans" w:eastAsia="Times New Roman" w:hAnsi="Open Sans" w:cs="Times New Roman"/>
          <w:color w:val="444444"/>
          <w:sz w:val="24"/>
          <w:szCs w:val="24"/>
          <w:lang w:eastAsia="es-AR"/>
        </w:rPr>
      </w:pPr>
      <w:r w:rsidRPr="008E7709">
        <w:rPr>
          <w:rFonts w:ascii="inherit" w:eastAsia="Times New Roman" w:hAnsi="inherit" w:cs="Times New Roman"/>
          <w:b/>
          <w:bCs/>
          <w:color w:val="444444"/>
          <w:sz w:val="21"/>
          <w:szCs w:val="21"/>
          <w:bdr w:val="none" w:sz="0" w:space="0" w:color="auto" w:frame="1"/>
          <w:lang w:eastAsia="es-AR"/>
        </w:rPr>
        <w:t>Conclusiones</w:t>
      </w:r>
      <w:r w:rsidRPr="008E7709">
        <w:rPr>
          <w:rFonts w:ascii="Open Sans" w:eastAsia="Times New Roman" w:hAnsi="Open Sans" w:cs="Times New Roman"/>
          <w:color w:val="444444"/>
          <w:sz w:val="24"/>
          <w:szCs w:val="24"/>
          <w:lang w:eastAsia="es-AR"/>
        </w:rPr>
        <w:br/>
      </w:r>
      <w:r w:rsidR="00AB0BA5">
        <w:rPr>
          <w:rFonts w:ascii="Open Sans" w:eastAsia="Times New Roman" w:hAnsi="Open Sans" w:cs="Times New Roman"/>
          <w:color w:val="444444"/>
          <w:sz w:val="24"/>
          <w:szCs w:val="24"/>
          <w:lang w:eastAsia="es-AR"/>
        </w:rPr>
        <w:tab/>
      </w:r>
      <w:r w:rsidRPr="008E7709">
        <w:rPr>
          <w:rFonts w:ascii="Open Sans" w:eastAsia="Times New Roman" w:hAnsi="Open Sans" w:cs="Times New Roman"/>
          <w:color w:val="444444"/>
          <w:sz w:val="24"/>
          <w:szCs w:val="24"/>
          <w:lang w:eastAsia="es-AR"/>
        </w:rPr>
        <w:t>La circulación simultánea de influenza y SARS-CoV-2 continúa representando la mayor carga significativa de enfermedad, no obstante, es importante realizar vigilancia y testeo de VSR en pacientes internados y especialmente en poblaciones vulnerables.</w:t>
      </w:r>
      <w:r w:rsidRPr="008E7709">
        <w:rPr>
          <w:rFonts w:ascii="Open Sans" w:eastAsia="Times New Roman" w:hAnsi="Open Sans" w:cs="Times New Roman"/>
          <w:color w:val="444444"/>
          <w:sz w:val="24"/>
          <w:szCs w:val="24"/>
          <w:lang w:eastAsia="es-AR"/>
        </w:rPr>
        <w:br/>
      </w:r>
      <w:r w:rsidR="00AB0BA5">
        <w:rPr>
          <w:rFonts w:ascii="Open Sans" w:eastAsia="Times New Roman" w:hAnsi="Open Sans" w:cs="Times New Roman"/>
          <w:color w:val="444444"/>
          <w:sz w:val="24"/>
          <w:szCs w:val="24"/>
          <w:lang w:eastAsia="es-AR"/>
        </w:rPr>
        <w:tab/>
      </w:r>
      <w:r w:rsidRPr="008E7709">
        <w:rPr>
          <w:rFonts w:ascii="Open Sans" w:eastAsia="Times New Roman" w:hAnsi="Open Sans" w:cs="Times New Roman"/>
          <w:color w:val="444444"/>
          <w:sz w:val="24"/>
          <w:szCs w:val="24"/>
          <w:lang w:eastAsia="es-AR"/>
        </w:rPr>
        <w:t>A pesar de la disponibilidad de vacunas seguras y eficaces, las coberturas siguen siendo insuficientes para lograr un impacto óptimo en salud pública.</w:t>
      </w:r>
    </w:p>
    <w:p w:rsidR="00AB0BA5" w:rsidRDefault="008E7709" w:rsidP="00AB0BA5">
      <w:pPr>
        <w:shd w:val="clear" w:color="auto" w:fill="FFFFFF"/>
        <w:spacing w:after="0" w:line="240" w:lineRule="auto"/>
        <w:ind w:firstLine="708"/>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lastRenderedPageBreak/>
        <w:t>La inmunización sistemática reduce de manera comprobada la morbimortalidad y las complicaciones graves asociadas a estos virus.</w:t>
      </w:r>
      <w:r w:rsidRPr="008E7709">
        <w:rPr>
          <w:rFonts w:ascii="Open Sans" w:eastAsia="Times New Roman" w:hAnsi="Open Sans" w:cs="Times New Roman"/>
          <w:color w:val="444444"/>
          <w:sz w:val="24"/>
          <w:szCs w:val="24"/>
          <w:lang w:eastAsia="es-AR"/>
        </w:rPr>
        <w:br/>
      </w:r>
      <w:r w:rsidR="00AB0BA5">
        <w:rPr>
          <w:rFonts w:ascii="Open Sans" w:eastAsia="Times New Roman" w:hAnsi="Open Sans" w:cs="Times New Roman"/>
          <w:color w:val="444444"/>
          <w:sz w:val="24"/>
          <w:szCs w:val="24"/>
          <w:lang w:eastAsia="es-AR"/>
        </w:rPr>
        <w:tab/>
      </w:r>
      <w:r w:rsidRPr="008E7709">
        <w:rPr>
          <w:rFonts w:ascii="Open Sans" w:eastAsia="Times New Roman" w:hAnsi="Open Sans" w:cs="Times New Roman"/>
          <w:color w:val="444444"/>
          <w:sz w:val="24"/>
          <w:szCs w:val="24"/>
          <w:lang w:eastAsia="es-AR"/>
        </w:rPr>
        <w:t>La coadministración de vacunas surge como una estrategia clave para mejorar la adherencia y ampliar la protección.</w:t>
      </w:r>
    </w:p>
    <w:p w:rsidR="008E7709" w:rsidRDefault="008E7709" w:rsidP="00AB0BA5">
      <w:pPr>
        <w:shd w:val="clear" w:color="auto" w:fill="FFFFFF"/>
        <w:spacing w:after="0" w:line="240" w:lineRule="auto"/>
        <w:ind w:firstLine="708"/>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Fortalecer las políticas de vacunación y la concientización resulta fundamental para enfrentar el actual escenario epidemiológico.</w:t>
      </w:r>
    </w:p>
    <w:p w:rsidR="008E7709" w:rsidRDefault="008E7709" w:rsidP="008E7709">
      <w:pPr>
        <w:shd w:val="clear" w:color="auto" w:fill="FFFFFF"/>
        <w:spacing w:after="0" w:line="240" w:lineRule="auto"/>
        <w:textAlignment w:val="baseline"/>
        <w:rPr>
          <w:rFonts w:ascii="Open Sans" w:eastAsia="Times New Roman" w:hAnsi="Open Sans" w:cs="Times New Roman"/>
          <w:color w:val="444444"/>
          <w:sz w:val="24"/>
          <w:szCs w:val="24"/>
          <w:lang w:eastAsia="es-AR"/>
        </w:rPr>
      </w:pPr>
    </w:p>
    <w:p w:rsidR="00D63273" w:rsidRPr="008E7709" w:rsidRDefault="00D63273" w:rsidP="008E7709">
      <w:pPr>
        <w:shd w:val="clear" w:color="auto" w:fill="FFFFFF"/>
        <w:spacing w:after="0" w:line="240" w:lineRule="auto"/>
        <w:textAlignment w:val="baseline"/>
        <w:rPr>
          <w:rFonts w:ascii="Open Sans" w:eastAsia="Times New Roman" w:hAnsi="Open Sans" w:cs="Times New Roman"/>
          <w:color w:val="444444"/>
          <w:sz w:val="24"/>
          <w:szCs w:val="24"/>
          <w:lang w:eastAsia="es-AR"/>
        </w:rPr>
      </w:pPr>
    </w:p>
    <w:p w:rsidR="008E7709" w:rsidRPr="008E7709" w:rsidRDefault="008E7709" w:rsidP="008E7709">
      <w:pPr>
        <w:shd w:val="clear" w:color="auto" w:fill="FFFFFF"/>
        <w:spacing w:after="0" w:line="240" w:lineRule="auto"/>
        <w:textAlignment w:val="baseline"/>
        <w:rPr>
          <w:rFonts w:ascii="Open Sans" w:eastAsia="Times New Roman" w:hAnsi="Open Sans" w:cs="Times New Roman"/>
          <w:color w:val="444444"/>
          <w:sz w:val="24"/>
          <w:szCs w:val="24"/>
          <w:lang w:eastAsia="es-AR"/>
        </w:rPr>
      </w:pPr>
      <w:r w:rsidRPr="008E7709">
        <w:rPr>
          <w:rFonts w:ascii="inherit" w:eastAsia="Times New Roman" w:hAnsi="inherit" w:cs="Times New Roman"/>
          <w:b/>
          <w:bCs/>
          <w:color w:val="444444"/>
          <w:sz w:val="21"/>
          <w:szCs w:val="21"/>
          <w:bdr w:val="none" w:sz="0" w:space="0" w:color="auto" w:frame="1"/>
          <w:lang w:eastAsia="es-AR"/>
        </w:rPr>
        <w:t>Bibliografía</w:t>
      </w: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eastAsia="es-AR"/>
        </w:rPr>
      </w:pPr>
      <w:r w:rsidRPr="008E7709">
        <w:rPr>
          <w:rFonts w:ascii="Open Sans" w:eastAsia="Times New Roman" w:hAnsi="Open Sans" w:cs="Times New Roman"/>
          <w:color w:val="444444"/>
          <w:sz w:val="20"/>
          <w:szCs w:val="20"/>
          <w:lang w:eastAsia="es-AR"/>
        </w:rPr>
        <w:t>1. Ministerio de Salud de la Nación Argentina. (2026). Boletín Epidemiológico Nacional N°790, SE 53, Año 2025. https://www.argentina.gob.ar/salud/boletin-epidemiologico-nacional</w:t>
      </w: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eastAsia="es-AR"/>
        </w:rPr>
      </w:pPr>
      <w:r w:rsidRPr="008E7709">
        <w:rPr>
          <w:rFonts w:ascii="Open Sans" w:eastAsia="Times New Roman" w:hAnsi="Open Sans" w:cs="Times New Roman"/>
          <w:color w:val="444444"/>
          <w:sz w:val="20"/>
          <w:szCs w:val="20"/>
          <w:lang w:eastAsia="es-AR"/>
        </w:rPr>
        <w:t>2. Sociedad Argentina de Cardiología. (2025). Consenso: Puntos clave al inicio (documento técnico). https://www.sac.org.ar/wp-content/uploads/2025/09/Consenso-puntos-clave-al-inicio.pdf</w:t>
      </w: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eastAsia="es-AR"/>
        </w:rPr>
      </w:pPr>
      <w:r w:rsidRPr="008E7709">
        <w:rPr>
          <w:rFonts w:ascii="Open Sans" w:eastAsia="Times New Roman" w:hAnsi="Open Sans" w:cs="Times New Roman"/>
          <w:color w:val="444444"/>
          <w:sz w:val="20"/>
          <w:szCs w:val="20"/>
          <w:lang w:eastAsia="es-AR"/>
        </w:rPr>
        <w:t xml:space="preserve">3. Organización Panamericana de la Salud, &amp; Organización Mundial de la Salud. (2025, </w:t>
      </w:r>
      <w:proofErr w:type="gramStart"/>
      <w:r w:rsidRPr="008E7709">
        <w:rPr>
          <w:rFonts w:ascii="Open Sans" w:eastAsia="Times New Roman" w:hAnsi="Open Sans" w:cs="Times New Roman"/>
          <w:color w:val="444444"/>
          <w:sz w:val="20"/>
          <w:szCs w:val="20"/>
          <w:lang w:eastAsia="es-AR"/>
        </w:rPr>
        <w:t>diciembre</w:t>
      </w:r>
      <w:proofErr w:type="gramEnd"/>
      <w:r w:rsidRPr="008E7709">
        <w:rPr>
          <w:rFonts w:ascii="Open Sans" w:eastAsia="Times New Roman" w:hAnsi="Open Sans" w:cs="Times New Roman"/>
          <w:color w:val="444444"/>
          <w:sz w:val="20"/>
          <w:szCs w:val="20"/>
          <w:lang w:eastAsia="es-AR"/>
        </w:rPr>
        <w:t xml:space="preserve"> 4). Alerta epidemiológica: Influenza estacional en la Región de las Américas: OPS/OMS. https://www.paho.org/</w:t>
      </w: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eastAsia="es-AR"/>
        </w:rPr>
      </w:pPr>
      <w:r w:rsidRPr="008E7709">
        <w:rPr>
          <w:rFonts w:ascii="Open Sans" w:eastAsia="Times New Roman" w:hAnsi="Open Sans" w:cs="Times New Roman"/>
          <w:color w:val="444444"/>
          <w:sz w:val="20"/>
          <w:szCs w:val="20"/>
          <w:lang w:eastAsia="es-AR"/>
        </w:rPr>
        <w:t>4. Ministerio de Salud de la Nación Argentina. (2026). Lineamientos técnicos de vacunación: Vacunación antigripal 2026. https://www.argentina.gob.ar/salud/vacunas/antigripal</w:t>
      </w: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eastAsia="es-AR"/>
        </w:rPr>
      </w:pPr>
      <w:r w:rsidRPr="008E7709">
        <w:rPr>
          <w:rFonts w:ascii="Open Sans" w:eastAsia="Times New Roman" w:hAnsi="Open Sans" w:cs="Times New Roman"/>
          <w:color w:val="444444"/>
          <w:sz w:val="20"/>
          <w:szCs w:val="20"/>
          <w:lang w:eastAsia="es-AR"/>
        </w:rPr>
        <w:t xml:space="preserve">5. Sociedad Argentina de </w:t>
      </w:r>
      <w:proofErr w:type="spellStart"/>
      <w:r w:rsidRPr="008E7709">
        <w:rPr>
          <w:rFonts w:ascii="Open Sans" w:eastAsia="Times New Roman" w:hAnsi="Open Sans" w:cs="Times New Roman"/>
          <w:color w:val="444444"/>
          <w:sz w:val="20"/>
          <w:szCs w:val="20"/>
          <w:lang w:eastAsia="es-AR"/>
        </w:rPr>
        <w:t>Infectología</w:t>
      </w:r>
      <w:proofErr w:type="spellEnd"/>
      <w:r w:rsidRPr="008E7709">
        <w:rPr>
          <w:rFonts w:ascii="Open Sans" w:eastAsia="Times New Roman" w:hAnsi="Open Sans" w:cs="Times New Roman"/>
          <w:color w:val="444444"/>
          <w:sz w:val="20"/>
          <w:szCs w:val="20"/>
          <w:lang w:eastAsia="es-AR"/>
        </w:rPr>
        <w:t>. (2026). Recomendaciones de vacunación antigripal en adultos y niños: Actualización 2026. https://www.sadi.org.ar/publicaciones/1950-recomendaciones-de-vacunacion-antigripal-en-adultos-y-ninos-actualizacion-2026</w:t>
      </w: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eastAsia="es-AR"/>
        </w:rPr>
      </w:pPr>
      <w:r w:rsidRPr="008E7709">
        <w:rPr>
          <w:rFonts w:ascii="Open Sans" w:eastAsia="Times New Roman" w:hAnsi="Open Sans" w:cs="Times New Roman"/>
          <w:color w:val="444444"/>
          <w:sz w:val="20"/>
          <w:szCs w:val="20"/>
          <w:lang w:eastAsia="es-AR"/>
        </w:rPr>
        <w:t xml:space="preserve">6. Sociedad Argentina de </w:t>
      </w:r>
      <w:proofErr w:type="spellStart"/>
      <w:r w:rsidRPr="008E7709">
        <w:rPr>
          <w:rFonts w:ascii="Open Sans" w:eastAsia="Times New Roman" w:hAnsi="Open Sans" w:cs="Times New Roman"/>
          <w:color w:val="444444"/>
          <w:sz w:val="20"/>
          <w:szCs w:val="20"/>
          <w:lang w:eastAsia="es-AR"/>
        </w:rPr>
        <w:t>Infectología</w:t>
      </w:r>
      <w:proofErr w:type="spellEnd"/>
      <w:r w:rsidRPr="008E7709">
        <w:rPr>
          <w:rFonts w:ascii="Open Sans" w:eastAsia="Times New Roman" w:hAnsi="Open Sans" w:cs="Times New Roman"/>
          <w:color w:val="444444"/>
          <w:sz w:val="20"/>
          <w:szCs w:val="20"/>
          <w:lang w:eastAsia="es-AR"/>
        </w:rPr>
        <w:t>. (2026). Actualización de recomendaciones de vacunación antigripal frente a situación de brote en viajeros. https://www.sadi.org.ar/novedades/1924-actualizacion-de-recomendaciones-de-vacunacion-antigripal-frente-a-situacion-de-brote-en-viajeros</w:t>
      </w: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eastAsia="es-AR"/>
        </w:rPr>
      </w:pPr>
      <w:r w:rsidRPr="008E7709">
        <w:rPr>
          <w:rFonts w:ascii="Open Sans" w:eastAsia="Times New Roman" w:hAnsi="Open Sans" w:cs="Times New Roman"/>
          <w:color w:val="444444"/>
          <w:sz w:val="20"/>
          <w:szCs w:val="20"/>
          <w:lang w:eastAsia="es-AR"/>
        </w:rPr>
        <w:t>7. Ministerio de Salud de la Nación Argentina. (2025). Lineamientos técnicos de vacunación antigripal (IF-2025-137493813-APN-DNCETMS). https://www.argentina.gob.ar/sites/default/files/if-2025-137493813-apn-dncetms.pdf</w:t>
      </w: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eastAsia="es-AR"/>
        </w:rPr>
      </w:pPr>
      <w:r w:rsidRPr="008E7709">
        <w:rPr>
          <w:rFonts w:ascii="Open Sans" w:eastAsia="Times New Roman" w:hAnsi="Open Sans" w:cs="Times New Roman"/>
          <w:color w:val="444444"/>
          <w:sz w:val="20"/>
          <w:szCs w:val="20"/>
          <w:lang w:val="en-US" w:eastAsia="es-AR"/>
        </w:rPr>
        <w:t xml:space="preserve">8. World Health Organization (WHO). COVID-19 epidemiological updates and endemic transition reports. </w:t>
      </w:r>
      <w:r w:rsidRPr="008E7709">
        <w:rPr>
          <w:rFonts w:ascii="Open Sans" w:eastAsia="Times New Roman" w:hAnsi="Open Sans" w:cs="Times New Roman"/>
          <w:color w:val="444444"/>
          <w:sz w:val="20"/>
          <w:szCs w:val="20"/>
          <w:lang w:eastAsia="es-AR"/>
        </w:rPr>
        <w:t>2023–2025.</w:t>
      </w: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eastAsia="es-AR"/>
        </w:rPr>
      </w:pPr>
      <w:r w:rsidRPr="008E7709">
        <w:rPr>
          <w:rFonts w:ascii="Open Sans" w:eastAsia="Times New Roman" w:hAnsi="Open Sans" w:cs="Times New Roman"/>
          <w:color w:val="444444"/>
          <w:sz w:val="20"/>
          <w:szCs w:val="20"/>
          <w:lang w:eastAsia="es-AR"/>
        </w:rPr>
        <w:t>9. Ministerio de Salud de la Nación Argentina. (</w:t>
      </w:r>
      <w:proofErr w:type="gramStart"/>
      <w:r w:rsidRPr="008E7709">
        <w:rPr>
          <w:rFonts w:ascii="Open Sans" w:eastAsia="Times New Roman" w:hAnsi="Open Sans" w:cs="Times New Roman"/>
          <w:color w:val="444444"/>
          <w:sz w:val="20"/>
          <w:szCs w:val="20"/>
          <w:lang w:eastAsia="es-AR"/>
        </w:rPr>
        <w:t>s</w:t>
      </w:r>
      <w:proofErr w:type="gramEnd"/>
      <w:r w:rsidRPr="008E7709">
        <w:rPr>
          <w:rFonts w:ascii="Open Sans" w:eastAsia="Times New Roman" w:hAnsi="Open Sans" w:cs="Times New Roman"/>
          <w:color w:val="444444"/>
          <w:sz w:val="20"/>
          <w:szCs w:val="20"/>
          <w:lang w:eastAsia="es-AR"/>
        </w:rPr>
        <w:t>. f.). Vacunación contra el coronavirus: Equipos de salud. https://www.argentina.gob.ar/coronavirus/vacuna/equipos-salud</w:t>
      </w: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eastAsia="es-AR"/>
        </w:rPr>
      </w:pPr>
      <w:r w:rsidRPr="008E7709">
        <w:rPr>
          <w:rFonts w:ascii="Open Sans" w:eastAsia="Times New Roman" w:hAnsi="Open Sans" w:cs="Times New Roman"/>
          <w:color w:val="444444"/>
          <w:sz w:val="20"/>
          <w:szCs w:val="20"/>
          <w:lang w:val="en-US" w:eastAsia="es-AR"/>
        </w:rPr>
        <w:t>10. Al-</w:t>
      </w:r>
      <w:proofErr w:type="spellStart"/>
      <w:r w:rsidRPr="008E7709">
        <w:rPr>
          <w:rFonts w:ascii="Open Sans" w:eastAsia="Times New Roman" w:hAnsi="Open Sans" w:cs="Times New Roman"/>
          <w:color w:val="444444"/>
          <w:sz w:val="20"/>
          <w:szCs w:val="20"/>
          <w:lang w:val="en-US" w:eastAsia="es-AR"/>
        </w:rPr>
        <w:t>Aly</w:t>
      </w:r>
      <w:proofErr w:type="spellEnd"/>
      <w:r w:rsidRPr="008E7709">
        <w:rPr>
          <w:rFonts w:ascii="Open Sans" w:eastAsia="Times New Roman" w:hAnsi="Open Sans" w:cs="Times New Roman"/>
          <w:color w:val="444444"/>
          <w:sz w:val="20"/>
          <w:szCs w:val="20"/>
          <w:lang w:val="en-US" w:eastAsia="es-AR"/>
        </w:rPr>
        <w:t xml:space="preserve"> Z, Bowe B, </w:t>
      </w:r>
      <w:proofErr w:type="spellStart"/>
      <w:r w:rsidRPr="008E7709">
        <w:rPr>
          <w:rFonts w:ascii="Open Sans" w:eastAsia="Times New Roman" w:hAnsi="Open Sans" w:cs="Times New Roman"/>
          <w:color w:val="444444"/>
          <w:sz w:val="20"/>
          <w:szCs w:val="20"/>
          <w:lang w:val="en-US" w:eastAsia="es-AR"/>
        </w:rPr>
        <w:t>Xie</w:t>
      </w:r>
      <w:proofErr w:type="spellEnd"/>
      <w:r w:rsidRPr="008E7709">
        <w:rPr>
          <w:rFonts w:ascii="Open Sans" w:eastAsia="Times New Roman" w:hAnsi="Open Sans" w:cs="Times New Roman"/>
          <w:color w:val="444444"/>
          <w:sz w:val="20"/>
          <w:szCs w:val="20"/>
          <w:lang w:val="en-US" w:eastAsia="es-AR"/>
        </w:rPr>
        <w:t xml:space="preserve"> Y. Outcomes of SARS-CoV-2 infection beyond the acute phase. </w:t>
      </w:r>
      <w:proofErr w:type="spellStart"/>
      <w:r w:rsidRPr="008E7709">
        <w:rPr>
          <w:rFonts w:ascii="Open Sans" w:eastAsia="Times New Roman" w:hAnsi="Open Sans" w:cs="Times New Roman"/>
          <w:color w:val="444444"/>
          <w:sz w:val="20"/>
          <w:szCs w:val="20"/>
          <w:lang w:eastAsia="es-AR"/>
        </w:rPr>
        <w:t>Nature</w:t>
      </w:r>
      <w:proofErr w:type="spellEnd"/>
      <w:r w:rsidRPr="008E7709">
        <w:rPr>
          <w:rFonts w:ascii="Open Sans" w:eastAsia="Times New Roman" w:hAnsi="Open Sans" w:cs="Times New Roman"/>
          <w:color w:val="444444"/>
          <w:sz w:val="20"/>
          <w:szCs w:val="20"/>
          <w:lang w:eastAsia="es-AR"/>
        </w:rPr>
        <w:t>. 2021.</w:t>
      </w: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eastAsia="es-AR"/>
        </w:rPr>
      </w:pPr>
      <w:r w:rsidRPr="008E7709">
        <w:rPr>
          <w:rFonts w:ascii="Open Sans" w:eastAsia="Times New Roman" w:hAnsi="Open Sans" w:cs="Times New Roman"/>
          <w:color w:val="444444"/>
          <w:sz w:val="20"/>
          <w:szCs w:val="20"/>
          <w:lang w:eastAsia="es-AR"/>
        </w:rPr>
        <w:t>11. Ministerio de Salud de la Nación Argentina. Lineamientos de vacunación COVID-19. 2025–2026. https://www.argentina.gob.ar/salud/inmunoprevenibles/recomendaciones-manuales-y-lineamientos</w:t>
      </w: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val="en-US" w:eastAsia="es-AR"/>
        </w:rPr>
      </w:pPr>
      <w:r w:rsidRPr="008E7709">
        <w:rPr>
          <w:rFonts w:ascii="Open Sans" w:eastAsia="Times New Roman" w:hAnsi="Open Sans" w:cs="Times New Roman"/>
          <w:color w:val="444444"/>
          <w:sz w:val="20"/>
          <w:szCs w:val="20"/>
          <w:lang w:val="en-US" w:eastAsia="es-AR"/>
        </w:rPr>
        <w:t>12. Centers for Disease Control and Prevention. (2020). Respiratory syncytial virus infection (RSV): Symptoms and care. http://www.cdc.gov/rsv/about/symptoms.html</w:t>
      </w: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val="en-US" w:eastAsia="es-AR"/>
        </w:rPr>
      </w:pPr>
      <w:r w:rsidRPr="008E7709">
        <w:rPr>
          <w:rFonts w:ascii="Open Sans" w:eastAsia="Times New Roman" w:hAnsi="Open Sans" w:cs="Times New Roman"/>
          <w:color w:val="444444"/>
          <w:sz w:val="20"/>
          <w:szCs w:val="20"/>
          <w:lang w:val="en-US" w:eastAsia="es-AR"/>
        </w:rPr>
        <w:t>13. Centers for Disease Control and Prevention. (2020). RSV in older adults and adults with chronic medical conditions. https://www.cdc.gov/rsv/high-risk/older-adults.html</w:t>
      </w: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val="en-US" w:eastAsia="es-AR"/>
        </w:rPr>
      </w:pPr>
      <w:r w:rsidRPr="008E7709">
        <w:rPr>
          <w:rFonts w:ascii="Open Sans" w:eastAsia="Times New Roman" w:hAnsi="Open Sans" w:cs="Times New Roman"/>
          <w:color w:val="444444"/>
          <w:sz w:val="20"/>
          <w:szCs w:val="20"/>
          <w:lang w:val="en-US" w:eastAsia="es-AR"/>
        </w:rPr>
        <w:lastRenderedPageBreak/>
        <w:t xml:space="preserve">14. </w:t>
      </w:r>
      <w:proofErr w:type="spellStart"/>
      <w:r w:rsidRPr="008E7709">
        <w:rPr>
          <w:rFonts w:ascii="Open Sans" w:eastAsia="Times New Roman" w:hAnsi="Open Sans" w:cs="Times New Roman"/>
          <w:color w:val="444444"/>
          <w:sz w:val="20"/>
          <w:szCs w:val="20"/>
          <w:lang w:val="en-US" w:eastAsia="es-AR"/>
        </w:rPr>
        <w:t>Openshaw</w:t>
      </w:r>
      <w:proofErr w:type="spellEnd"/>
      <w:r w:rsidRPr="008E7709">
        <w:rPr>
          <w:rFonts w:ascii="Open Sans" w:eastAsia="Times New Roman" w:hAnsi="Open Sans" w:cs="Times New Roman"/>
          <w:color w:val="444444"/>
          <w:sz w:val="20"/>
          <w:szCs w:val="20"/>
          <w:lang w:val="en-US" w:eastAsia="es-AR"/>
        </w:rPr>
        <w:t>, P. J. M., et al. (2017). Protective and Harmful Immunity to RSV Infection. Annual Review of Immunology, 35, 501–532.</w:t>
      </w: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val="en-US" w:eastAsia="es-AR"/>
        </w:rPr>
      </w:pPr>
      <w:r w:rsidRPr="008E7709">
        <w:rPr>
          <w:rFonts w:ascii="Open Sans" w:eastAsia="Times New Roman" w:hAnsi="Open Sans" w:cs="Times New Roman"/>
          <w:color w:val="444444"/>
          <w:sz w:val="20"/>
          <w:szCs w:val="20"/>
          <w:lang w:val="en-US" w:eastAsia="es-AR"/>
        </w:rPr>
        <w:t>15. Walsh, E. E., et al. (2017). Respiratory Syncytial Virus Infection. Clinics in Chest Medicine, 38(1), 29–36.</w:t>
      </w: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val="en-US" w:eastAsia="es-AR"/>
        </w:rPr>
      </w:pPr>
      <w:r w:rsidRPr="008E7709">
        <w:rPr>
          <w:rFonts w:ascii="Open Sans" w:eastAsia="Times New Roman" w:hAnsi="Open Sans" w:cs="Times New Roman"/>
          <w:color w:val="444444"/>
          <w:sz w:val="20"/>
          <w:szCs w:val="20"/>
          <w:lang w:val="en-US" w:eastAsia="es-AR"/>
        </w:rPr>
        <w:t xml:space="preserve">16. </w:t>
      </w:r>
      <w:proofErr w:type="spellStart"/>
      <w:r w:rsidRPr="008E7709">
        <w:rPr>
          <w:rFonts w:ascii="Open Sans" w:eastAsia="Times New Roman" w:hAnsi="Open Sans" w:cs="Times New Roman"/>
          <w:color w:val="444444"/>
          <w:sz w:val="20"/>
          <w:szCs w:val="20"/>
          <w:lang w:val="en-US" w:eastAsia="es-AR"/>
        </w:rPr>
        <w:t>Branche</w:t>
      </w:r>
      <w:proofErr w:type="spellEnd"/>
      <w:r w:rsidRPr="008E7709">
        <w:rPr>
          <w:rFonts w:ascii="Open Sans" w:eastAsia="Times New Roman" w:hAnsi="Open Sans" w:cs="Times New Roman"/>
          <w:color w:val="444444"/>
          <w:sz w:val="20"/>
          <w:szCs w:val="20"/>
          <w:lang w:val="en-US" w:eastAsia="es-AR"/>
        </w:rPr>
        <w:t xml:space="preserve">, A. R., et al. (2022). Incidence of Respiratory Syncytial Virus Infection </w:t>
      </w:r>
      <w:proofErr w:type="gramStart"/>
      <w:r w:rsidRPr="008E7709">
        <w:rPr>
          <w:rFonts w:ascii="Open Sans" w:eastAsia="Times New Roman" w:hAnsi="Open Sans" w:cs="Times New Roman"/>
          <w:color w:val="444444"/>
          <w:sz w:val="20"/>
          <w:szCs w:val="20"/>
          <w:lang w:val="en-US" w:eastAsia="es-AR"/>
        </w:rPr>
        <w:t>Among</w:t>
      </w:r>
      <w:proofErr w:type="gramEnd"/>
      <w:r w:rsidRPr="008E7709">
        <w:rPr>
          <w:rFonts w:ascii="Open Sans" w:eastAsia="Times New Roman" w:hAnsi="Open Sans" w:cs="Times New Roman"/>
          <w:color w:val="444444"/>
          <w:sz w:val="20"/>
          <w:szCs w:val="20"/>
          <w:lang w:val="en-US" w:eastAsia="es-AR"/>
        </w:rPr>
        <w:t xml:space="preserve"> Hospitalized Adults, 2017–2020. Clinical Infectious Diseases, 74(6), 1004–1011.</w:t>
      </w: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val="en-US" w:eastAsia="es-AR"/>
        </w:rPr>
      </w:pPr>
      <w:r w:rsidRPr="008E7709">
        <w:rPr>
          <w:rFonts w:ascii="Open Sans" w:eastAsia="Times New Roman" w:hAnsi="Open Sans" w:cs="Times New Roman"/>
          <w:color w:val="444444"/>
          <w:sz w:val="20"/>
          <w:szCs w:val="20"/>
          <w:lang w:val="en-US" w:eastAsia="es-AR"/>
        </w:rPr>
        <w:t xml:space="preserve">17. Walsh, E. E., et al. (2022). A Randomized Phase 1/2 Study of a Respiratory Syncytial Virus </w:t>
      </w:r>
      <w:proofErr w:type="spellStart"/>
      <w:r w:rsidRPr="008E7709">
        <w:rPr>
          <w:rFonts w:ascii="Open Sans" w:eastAsia="Times New Roman" w:hAnsi="Open Sans" w:cs="Times New Roman"/>
          <w:color w:val="444444"/>
          <w:sz w:val="20"/>
          <w:szCs w:val="20"/>
          <w:lang w:val="en-US" w:eastAsia="es-AR"/>
        </w:rPr>
        <w:t>Prefusion</w:t>
      </w:r>
      <w:proofErr w:type="spellEnd"/>
      <w:r w:rsidRPr="008E7709">
        <w:rPr>
          <w:rFonts w:ascii="Open Sans" w:eastAsia="Times New Roman" w:hAnsi="Open Sans" w:cs="Times New Roman"/>
          <w:color w:val="444444"/>
          <w:sz w:val="20"/>
          <w:szCs w:val="20"/>
          <w:lang w:val="en-US" w:eastAsia="es-AR"/>
        </w:rPr>
        <w:t xml:space="preserve"> F Vaccine. Journal of Infectious Diseases, 225(8), 1357–1366.</w:t>
      </w: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val="en-US" w:eastAsia="es-AR"/>
        </w:rPr>
      </w:pPr>
      <w:r w:rsidRPr="008E7709">
        <w:rPr>
          <w:rFonts w:ascii="Open Sans" w:eastAsia="Times New Roman" w:hAnsi="Open Sans" w:cs="Times New Roman"/>
          <w:color w:val="444444"/>
          <w:sz w:val="20"/>
          <w:szCs w:val="20"/>
          <w:lang w:val="en-US" w:eastAsia="es-AR"/>
        </w:rPr>
        <w:t xml:space="preserve">18. Baber, J., et al. (2022). A Phase 1/2 Study of a Respiratory Syncytial Virus </w:t>
      </w:r>
      <w:proofErr w:type="spellStart"/>
      <w:r w:rsidRPr="008E7709">
        <w:rPr>
          <w:rFonts w:ascii="Open Sans" w:eastAsia="Times New Roman" w:hAnsi="Open Sans" w:cs="Times New Roman"/>
          <w:color w:val="444444"/>
          <w:sz w:val="20"/>
          <w:szCs w:val="20"/>
          <w:lang w:val="en-US" w:eastAsia="es-AR"/>
        </w:rPr>
        <w:t>Prefusion</w:t>
      </w:r>
      <w:proofErr w:type="spellEnd"/>
      <w:r w:rsidRPr="008E7709">
        <w:rPr>
          <w:rFonts w:ascii="Open Sans" w:eastAsia="Times New Roman" w:hAnsi="Open Sans" w:cs="Times New Roman"/>
          <w:color w:val="444444"/>
          <w:sz w:val="20"/>
          <w:szCs w:val="20"/>
          <w:lang w:val="en-US" w:eastAsia="es-AR"/>
        </w:rPr>
        <w:t xml:space="preserve"> F Vaccine With and Without Adjuvant in Healthy Older Adults. Journal of Infectious Diseases, 226(12), 2054–2063.</w:t>
      </w: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val="en-US" w:eastAsia="es-AR"/>
        </w:rPr>
      </w:pPr>
      <w:r w:rsidRPr="008E7709">
        <w:rPr>
          <w:rFonts w:ascii="Open Sans" w:eastAsia="Times New Roman" w:hAnsi="Open Sans" w:cs="Times New Roman"/>
          <w:color w:val="444444"/>
          <w:sz w:val="20"/>
          <w:szCs w:val="20"/>
          <w:lang w:val="en-US" w:eastAsia="es-AR"/>
        </w:rPr>
        <w:t xml:space="preserve">19. Pfizer Inc. (2023). </w:t>
      </w:r>
      <w:proofErr w:type="spellStart"/>
      <w:r w:rsidRPr="008E7709">
        <w:rPr>
          <w:rFonts w:ascii="Open Sans" w:eastAsia="Times New Roman" w:hAnsi="Open Sans" w:cs="Times New Roman"/>
          <w:color w:val="444444"/>
          <w:sz w:val="20"/>
          <w:szCs w:val="20"/>
          <w:lang w:val="en-US" w:eastAsia="es-AR"/>
        </w:rPr>
        <w:t>Abrysvo</w:t>
      </w:r>
      <w:proofErr w:type="spellEnd"/>
      <w:r w:rsidRPr="008E7709">
        <w:rPr>
          <w:rFonts w:ascii="Open Sans" w:eastAsia="Times New Roman" w:hAnsi="Open Sans" w:cs="Times New Roman"/>
          <w:color w:val="444444"/>
          <w:sz w:val="20"/>
          <w:szCs w:val="20"/>
          <w:lang w:val="en-US" w:eastAsia="es-AR"/>
        </w:rPr>
        <w:t xml:space="preserve"> (respiratory syncytial virus vaccine) prescribing information. https://labeling.pfizer.com/ShowLabeling.aspx?id=20032</w:t>
      </w: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eastAsia="es-AR"/>
        </w:rPr>
      </w:pPr>
      <w:r w:rsidRPr="008E7709">
        <w:rPr>
          <w:rFonts w:ascii="Open Sans" w:eastAsia="Times New Roman" w:hAnsi="Open Sans" w:cs="Times New Roman"/>
          <w:color w:val="444444"/>
          <w:sz w:val="20"/>
          <w:szCs w:val="20"/>
          <w:lang w:eastAsia="es-AR"/>
        </w:rPr>
        <w:t xml:space="preserve">20. Administración Nacional de Medicamentos, Alimentos y Tecnología Médica (ANMAT). (2023). Disposición 7397/23 – Vacuna </w:t>
      </w:r>
      <w:proofErr w:type="spellStart"/>
      <w:r w:rsidRPr="008E7709">
        <w:rPr>
          <w:rFonts w:ascii="Open Sans" w:eastAsia="Times New Roman" w:hAnsi="Open Sans" w:cs="Times New Roman"/>
          <w:color w:val="444444"/>
          <w:sz w:val="20"/>
          <w:szCs w:val="20"/>
          <w:lang w:eastAsia="es-AR"/>
        </w:rPr>
        <w:t>Abrysvo</w:t>
      </w:r>
      <w:proofErr w:type="spellEnd"/>
      <w:r w:rsidRPr="008E7709">
        <w:rPr>
          <w:rFonts w:ascii="Open Sans" w:eastAsia="Times New Roman" w:hAnsi="Open Sans" w:cs="Times New Roman"/>
          <w:color w:val="444444"/>
          <w:sz w:val="20"/>
          <w:szCs w:val="20"/>
          <w:lang w:eastAsia="es-AR"/>
        </w:rPr>
        <w:t>.</w:t>
      </w: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eastAsia="es-AR"/>
        </w:rPr>
      </w:pPr>
      <w:r w:rsidRPr="008E7709">
        <w:rPr>
          <w:rFonts w:ascii="Open Sans" w:eastAsia="Times New Roman" w:hAnsi="Open Sans" w:cs="Times New Roman"/>
          <w:color w:val="444444"/>
          <w:sz w:val="20"/>
          <w:szCs w:val="20"/>
          <w:lang w:eastAsia="es-AR"/>
        </w:rPr>
        <w:t xml:space="preserve">21. Administración Nacional de Medicamentos, Alimentos y Tecnología Médica (ANMAT). (2024). Disposición 1508/24 – Vacuna </w:t>
      </w:r>
      <w:proofErr w:type="spellStart"/>
      <w:r w:rsidRPr="008E7709">
        <w:rPr>
          <w:rFonts w:ascii="Open Sans" w:eastAsia="Times New Roman" w:hAnsi="Open Sans" w:cs="Times New Roman"/>
          <w:color w:val="444444"/>
          <w:sz w:val="20"/>
          <w:szCs w:val="20"/>
          <w:lang w:eastAsia="es-AR"/>
        </w:rPr>
        <w:t>Arexvy</w:t>
      </w:r>
      <w:proofErr w:type="spellEnd"/>
      <w:r w:rsidRPr="008E7709">
        <w:rPr>
          <w:rFonts w:ascii="Open Sans" w:eastAsia="Times New Roman" w:hAnsi="Open Sans" w:cs="Times New Roman"/>
          <w:color w:val="444444"/>
          <w:sz w:val="20"/>
          <w:szCs w:val="20"/>
          <w:lang w:eastAsia="es-AR"/>
        </w:rPr>
        <w:t>.</w:t>
      </w: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eastAsia="es-AR"/>
        </w:rPr>
      </w:pPr>
      <w:r w:rsidRPr="008E7709">
        <w:rPr>
          <w:rFonts w:ascii="Open Sans" w:eastAsia="Times New Roman" w:hAnsi="Open Sans" w:cs="Times New Roman"/>
          <w:color w:val="444444"/>
          <w:sz w:val="20"/>
          <w:szCs w:val="20"/>
          <w:lang w:eastAsia="es-AR"/>
        </w:rPr>
        <w:t>22. Ministerio de Salud de la Nación Argentina. (2026). Boletín Epidemiológico Nacional N°790, SE 53, Año 2025. https://www.argentina.gob.ar/salud/boletin-epidemiologico-nacional</w:t>
      </w: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val="en-US" w:eastAsia="es-AR"/>
        </w:rPr>
      </w:pPr>
      <w:r w:rsidRPr="008E7709">
        <w:rPr>
          <w:rFonts w:ascii="Open Sans" w:eastAsia="Times New Roman" w:hAnsi="Open Sans" w:cs="Times New Roman"/>
          <w:color w:val="444444"/>
          <w:sz w:val="20"/>
          <w:szCs w:val="20"/>
          <w:lang w:val="en-US" w:eastAsia="es-AR"/>
        </w:rPr>
        <w:t xml:space="preserve">23. RENOIR Trial — </w:t>
      </w:r>
      <w:proofErr w:type="spellStart"/>
      <w:r w:rsidRPr="008E7709">
        <w:rPr>
          <w:rFonts w:ascii="Open Sans" w:eastAsia="Times New Roman" w:hAnsi="Open Sans" w:cs="Times New Roman"/>
          <w:color w:val="444444"/>
          <w:sz w:val="20"/>
          <w:szCs w:val="20"/>
          <w:lang w:val="en-US" w:eastAsia="es-AR"/>
        </w:rPr>
        <w:t>RSVpreF</w:t>
      </w:r>
      <w:proofErr w:type="spellEnd"/>
      <w:r w:rsidRPr="008E7709">
        <w:rPr>
          <w:rFonts w:ascii="Open Sans" w:eastAsia="Times New Roman" w:hAnsi="Open Sans" w:cs="Times New Roman"/>
          <w:color w:val="444444"/>
          <w:sz w:val="20"/>
          <w:szCs w:val="20"/>
          <w:lang w:val="en-US" w:eastAsia="es-AR"/>
        </w:rPr>
        <w:t xml:space="preserve"> Vaccine Efficacy over Two Seasons. N </w:t>
      </w:r>
      <w:proofErr w:type="spellStart"/>
      <w:r w:rsidRPr="008E7709">
        <w:rPr>
          <w:rFonts w:ascii="Open Sans" w:eastAsia="Times New Roman" w:hAnsi="Open Sans" w:cs="Times New Roman"/>
          <w:color w:val="444444"/>
          <w:sz w:val="20"/>
          <w:szCs w:val="20"/>
          <w:lang w:val="en-US" w:eastAsia="es-AR"/>
        </w:rPr>
        <w:t>Engl</w:t>
      </w:r>
      <w:proofErr w:type="spellEnd"/>
      <w:r w:rsidRPr="008E7709">
        <w:rPr>
          <w:rFonts w:ascii="Open Sans" w:eastAsia="Times New Roman" w:hAnsi="Open Sans" w:cs="Times New Roman"/>
          <w:color w:val="444444"/>
          <w:sz w:val="20"/>
          <w:szCs w:val="20"/>
          <w:lang w:val="en-US" w:eastAsia="es-AR"/>
        </w:rPr>
        <w:t xml:space="preserve"> J Med 2024</w:t>
      </w:r>
      <w:proofErr w:type="gramStart"/>
      <w:r w:rsidRPr="008E7709">
        <w:rPr>
          <w:rFonts w:ascii="Open Sans" w:eastAsia="Times New Roman" w:hAnsi="Open Sans" w:cs="Times New Roman"/>
          <w:color w:val="444444"/>
          <w:sz w:val="20"/>
          <w:szCs w:val="20"/>
          <w:lang w:val="en-US" w:eastAsia="es-AR"/>
        </w:rPr>
        <w:t>;391:1459</w:t>
      </w:r>
      <w:proofErr w:type="gramEnd"/>
      <w:r w:rsidRPr="008E7709">
        <w:rPr>
          <w:rFonts w:ascii="Open Sans" w:eastAsia="Times New Roman" w:hAnsi="Open Sans" w:cs="Times New Roman"/>
          <w:color w:val="444444"/>
          <w:sz w:val="20"/>
          <w:szCs w:val="20"/>
          <w:lang w:val="en-US" w:eastAsia="es-AR"/>
        </w:rPr>
        <w:t>-1460DOI: 10.1056/NEJMc2311560.</w:t>
      </w: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val="en-US" w:eastAsia="es-AR"/>
        </w:rPr>
      </w:pPr>
      <w:r w:rsidRPr="008E7709">
        <w:rPr>
          <w:rFonts w:ascii="Open Sans" w:eastAsia="Times New Roman" w:hAnsi="Open Sans" w:cs="Times New Roman"/>
          <w:color w:val="444444"/>
          <w:sz w:val="20"/>
          <w:szCs w:val="20"/>
          <w:lang w:eastAsia="es-AR"/>
        </w:rPr>
        <w:t xml:space="preserve">24. Sara Y. </w:t>
      </w:r>
      <w:proofErr w:type="spellStart"/>
      <w:r w:rsidRPr="008E7709">
        <w:rPr>
          <w:rFonts w:ascii="Open Sans" w:eastAsia="Times New Roman" w:hAnsi="Open Sans" w:cs="Times New Roman"/>
          <w:color w:val="444444"/>
          <w:sz w:val="20"/>
          <w:szCs w:val="20"/>
          <w:lang w:eastAsia="es-AR"/>
        </w:rPr>
        <w:t>Tartof</w:t>
      </w:r>
      <w:proofErr w:type="spellEnd"/>
      <w:r w:rsidRPr="008E7709">
        <w:rPr>
          <w:rFonts w:ascii="Open Sans" w:eastAsia="Times New Roman" w:hAnsi="Open Sans" w:cs="Times New Roman"/>
          <w:color w:val="444444"/>
          <w:sz w:val="20"/>
          <w:szCs w:val="20"/>
          <w:lang w:eastAsia="es-AR"/>
        </w:rPr>
        <w:t xml:space="preserve">, Negar </w:t>
      </w:r>
      <w:proofErr w:type="spellStart"/>
      <w:r w:rsidRPr="008E7709">
        <w:rPr>
          <w:rFonts w:ascii="Open Sans" w:eastAsia="Times New Roman" w:hAnsi="Open Sans" w:cs="Times New Roman"/>
          <w:color w:val="444444"/>
          <w:sz w:val="20"/>
          <w:szCs w:val="20"/>
          <w:lang w:eastAsia="es-AR"/>
        </w:rPr>
        <w:t>Aliabadi</w:t>
      </w:r>
      <w:proofErr w:type="spellEnd"/>
      <w:r w:rsidRPr="008E7709">
        <w:rPr>
          <w:rFonts w:ascii="Open Sans" w:eastAsia="Times New Roman" w:hAnsi="Open Sans" w:cs="Times New Roman"/>
          <w:color w:val="444444"/>
          <w:sz w:val="20"/>
          <w:szCs w:val="20"/>
          <w:lang w:eastAsia="es-AR"/>
        </w:rPr>
        <w:t xml:space="preserve">, </w:t>
      </w:r>
      <w:proofErr w:type="spellStart"/>
      <w:r w:rsidRPr="008E7709">
        <w:rPr>
          <w:rFonts w:ascii="Open Sans" w:eastAsia="Times New Roman" w:hAnsi="Open Sans" w:cs="Times New Roman"/>
          <w:color w:val="444444"/>
          <w:sz w:val="20"/>
          <w:szCs w:val="20"/>
          <w:lang w:eastAsia="es-AR"/>
        </w:rPr>
        <w:t>Evan</w:t>
      </w:r>
      <w:proofErr w:type="spellEnd"/>
      <w:r w:rsidRPr="008E7709">
        <w:rPr>
          <w:rFonts w:ascii="Open Sans" w:eastAsia="Times New Roman" w:hAnsi="Open Sans" w:cs="Times New Roman"/>
          <w:color w:val="444444"/>
          <w:sz w:val="20"/>
          <w:szCs w:val="20"/>
          <w:lang w:eastAsia="es-AR"/>
        </w:rPr>
        <w:t xml:space="preserve"> </w:t>
      </w:r>
      <w:proofErr w:type="spellStart"/>
      <w:r w:rsidRPr="008E7709">
        <w:rPr>
          <w:rFonts w:ascii="Open Sans" w:eastAsia="Times New Roman" w:hAnsi="Open Sans" w:cs="Times New Roman"/>
          <w:color w:val="444444"/>
          <w:sz w:val="20"/>
          <w:szCs w:val="20"/>
          <w:lang w:eastAsia="es-AR"/>
        </w:rPr>
        <w:t>Zasowski</w:t>
      </w:r>
      <w:proofErr w:type="spellEnd"/>
      <w:r w:rsidRPr="008E7709">
        <w:rPr>
          <w:rFonts w:ascii="Open Sans" w:eastAsia="Times New Roman" w:hAnsi="Open Sans" w:cs="Times New Roman"/>
          <w:color w:val="444444"/>
          <w:sz w:val="20"/>
          <w:szCs w:val="20"/>
          <w:lang w:eastAsia="es-AR"/>
        </w:rPr>
        <w:t xml:space="preserve">, </w:t>
      </w:r>
      <w:proofErr w:type="spellStart"/>
      <w:r w:rsidRPr="008E7709">
        <w:rPr>
          <w:rFonts w:ascii="Open Sans" w:eastAsia="Times New Roman" w:hAnsi="Open Sans" w:cs="Times New Roman"/>
          <w:color w:val="444444"/>
          <w:sz w:val="20"/>
          <w:szCs w:val="20"/>
          <w:lang w:eastAsia="es-AR"/>
        </w:rPr>
        <w:t>Gabriella</w:t>
      </w:r>
      <w:proofErr w:type="spellEnd"/>
      <w:r w:rsidRPr="008E7709">
        <w:rPr>
          <w:rFonts w:ascii="Open Sans" w:eastAsia="Times New Roman" w:hAnsi="Open Sans" w:cs="Times New Roman"/>
          <w:color w:val="444444"/>
          <w:sz w:val="20"/>
          <w:szCs w:val="20"/>
          <w:lang w:eastAsia="es-AR"/>
        </w:rPr>
        <w:t xml:space="preserve"> </w:t>
      </w:r>
      <w:proofErr w:type="spellStart"/>
      <w:r w:rsidRPr="008E7709">
        <w:rPr>
          <w:rFonts w:ascii="Open Sans" w:eastAsia="Times New Roman" w:hAnsi="Open Sans" w:cs="Times New Roman"/>
          <w:color w:val="444444"/>
          <w:sz w:val="20"/>
          <w:szCs w:val="20"/>
          <w:lang w:eastAsia="es-AR"/>
        </w:rPr>
        <w:t>Goodwin</w:t>
      </w:r>
      <w:proofErr w:type="spellEnd"/>
      <w:r w:rsidRPr="008E7709">
        <w:rPr>
          <w:rFonts w:ascii="Open Sans" w:eastAsia="Times New Roman" w:hAnsi="Open Sans" w:cs="Times New Roman"/>
          <w:color w:val="444444"/>
          <w:sz w:val="20"/>
          <w:szCs w:val="20"/>
          <w:lang w:eastAsia="es-AR"/>
        </w:rPr>
        <w:t xml:space="preserve">, Jeff M. </w:t>
      </w:r>
      <w:proofErr w:type="spellStart"/>
      <w:r w:rsidRPr="008E7709">
        <w:rPr>
          <w:rFonts w:ascii="Open Sans" w:eastAsia="Times New Roman" w:hAnsi="Open Sans" w:cs="Times New Roman"/>
          <w:color w:val="444444"/>
          <w:sz w:val="20"/>
          <w:szCs w:val="20"/>
          <w:lang w:eastAsia="es-AR"/>
        </w:rPr>
        <w:t>Slezak</w:t>
      </w:r>
      <w:proofErr w:type="spellEnd"/>
      <w:r w:rsidRPr="008E7709">
        <w:rPr>
          <w:rFonts w:ascii="Open Sans" w:eastAsia="Times New Roman" w:hAnsi="Open Sans" w:cs="Times New Roman"/>
          <w:color w:val="444444"/>
          <w:sz w:val="20"/>
          <w:szCs w:val="20"/>
          <w:lang w:eastAsia="es-AR"/>
        </w:rPr>
        <w:t xml:space="preserve">, et al. </w:t>
      </w:r>
      <w:r w:rsidRPr="008E7709">
        <w:rPr>
          <w:rFonts w:ascii="Open Sans" w:eastAsia="Times New Roman" w:hAnsi="Open Sans" w:cs="Times New Roman"/>
          <w:color w:val="444444"/>
          <w:sz w:val="20"/>
          <w:szCs w:val="20"/>
          <w:lang w:val="en-US" w:eastAsia="es-AR"/>
        </w:rPr>
        <w:t xml:space="preserve">Bivalent </w:t>
      </w:r>
      <w:proofErr w:type="spellStart"/>
      <w:r w:rsidRPr="008E7709">
        <w:rPr>
          <w:rFonts w:ascii="Open Sans" w:eastAsia="Times New Roman" w:hAnsi="Open Sans" w:cs="Times New Roman"/>
          <w:color w:val="444444"/>
          <w:sz w:val="20"/>
          <w:szCs w:val="20"/>
          <w:lang w:val="en-US" w:eastAsia="es-AR"/>
        </w:rPr>
        <w:t>RSVpreF</w:t>
      </w:r>
      <w:proofErr w:type="spellEnd"/>
      <w:r w:rsidRPr="008E7709">
        <w:rPr>
          <w:rFonts w:ascii="Open Sans" w:eastAsia="Times New Roman" w:hAnsi="Open Sans" w:cs="Times New Roman"/>
          <w:color w:val="444444"/>
          <w:sz w:val="20"/>
          <w:szCs w:val="20"/>
          <w:lang w:val="en-US" w:eastAsia="es-AR"/>
        </w:rPr>
        <w:t xml:space="preserve"> effectiveness against RSV-associated hospital or emergency department care over two seasons: a retrospective test-negative case control study, The Lancet Regional Health – Americas, Volume 60, 2026, 101520, ISSN 2667-193X, https://doi.org/10.1016/j.lana.2026.101520. (https://www.sciencedirect.com/science/article/pii/S2667193X2600150X)</w:t>
      </w: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eastAsia="es-AR"/>
        </w:rPr>
      </w:pPr>
      <w:r w:rsidRPr="008E7709">
        <w:rPr>
          <w:rFonts w:ascii="Open Sans" w:eastAsia="Times New Roman" w:hAnsi="Open Sans" w:cs="Times New Roman"/>
          <w:color w:val="444444"/>
          <w:sz w:val="20"/>
          <w:szCs w:val="20"/>
          <w:lang w:val="en-US" w:eastAsia="es-AR"/>
        </w:rPr>
        <w:t xml:space="preserve">25. Hameed S, Robertson C, Morrison K et al. Early evidence of RSV vaccination impact on </w:t>
      </w:r>
      <w:proofErr w:type="spellStart"/>
      <w:r w:rsidRPr="008E7709">
        <w:rPr>
          <w:rFonts w:ascii="Open Sans" w:eastAsia="Times New Roman" w:hAnsi="Open Sans" w:cs="Times New Roman"/>
          <w:color w:val="444444"/>
          <w:sz w:val="20"/>
          <w:szCs w:val="20"/>
          <w:lang w:val="en-US" w:eastAsia="es-AR"/>
        </w:rPr>
        <w:t>hospitalisation</w:t>
      </w:r>
      <w:proofErr w:type="spellEnd"/>
      <w:r w:rsidRPr="008E7709">
        <w:rPr>
          <w:rFonts w:ascii="Open Sans" w:eastAsia="Times New Roman" w:hAnsi="Open Sans" w:cs="Times New Roman"/>
          <w:color w:val="444444"/>
          <w:sz w:val="20"/>
          <w:szCs w:val="20"/>
          <w:lang w:val="en-US" w:eastAsia="es-AR"/>
        </w:rPr>
        <w:t xml:space="preserve"> rates of older people in Scotland. </w:t>
      </w:r>
      <w:proofErr w:type="spellStart"/>
      <w:r w:rsidRPr="008E7709">
        <w:rPr>
          <w:rFonts w:ascii="Open Sans" w:eastAsia="Times New Roman" w:hAnsi="Open Sans" w:cs="Times New Roman"/>
          <w:color w:val="444444"/>
          <w:sz w:val="20"/>
          <w:szCs w:val="20"/>
          <w:lang w:eastAsia="es-AR"/>
        </w:rPr>
        <w:t>The</w:t>
      </w:r>
      <w:proofErr w:type="spellEnd"/>
      <w:r w:rsidRPr="008E7709">
        <w:rPr>
          <w:rFonts w:ascii="Open Sans" w:eastAsia="Times New Roman" w:hAnsi="Open Sans" w:cs="Times New Roman"/>
          <w:color w:val="444444"/>
          <w:sz w:val="20"/>
          <w:szCs w:val="20"/>
          <w:lang w:eastAsia="es-AR"/>
        </w:rPr>
        <w:t xml:space="preserve"> </w:t>
      </w:r>
      <w:proofErr w:type="spellStart"/>
      <w:r w:rsidRPr="008E7709">
        <w:rPr>
          <w:rFonts w:ascii="Open Sans" w:eastAsia="Times New Roman" w:hAnsi="Open Sans" w:cs="Times New Roman"/>
          <w:color w:val="444444"/>
          <w:sz w:val="20"/>
          <w:szCs w:val="20"/>
          <w:lang w:eastAsia="es-AR"/>
        </w:rPr>
        <w:t>Lancet</w:t>
      </w:r>
      <w:proofErr w:type="spellEnd"/>
      <w:r w:rsidRPr="008E7709">
        <w:rPr>
          <w:rFonts w:ascii="Open Sans" w:eastAsia="Times New Roman" w:hAnsi="Open Sans" w:cs="Times New Roman"/>
          <w:color w:val="444444"/>
          <w:sz w:val="20"/>
          <w:szCs w:val="20"/>
          <w:lang w:eastAsia="es-AR"/>
        </w:rPr>
        <w:t xml:space="preserve"> </w:t>
      </w:r>
      <w:proofErr w:type="spellStart"/>
      <w:r w:rsidRPr="008E7709">
        <w:rPr>
          <w:rFonts w:ascii="Open Sans" w:eastAsia="Times New Roman" w:hAnsi="Open Sans" w:cs="Times New Roman"/>
          <w:color w:val="444444"/>
          <w:sz w:val="20"/>
          <w:szCs w:val="20"/>
          <w:lang w:eastAsia="es-AR"/>
        </w:rPr>
        <w:t>Infectious</w:t>
      </w:r>
      <w:proofErr w:type="spellEnd"/>
      <w:r w:rsidRPr="008E7709">
        <w:rPr>
          <w:rFonts w:ascii="Open Sans" w:eastAsia="Times New Roman" w:hAnsi="Open Sans" w:cs="Times New Roman"/>
          <w:color w:val="444444"/>
          <w:sz w:val="20"/>
          <w:szCs w:val="20"/>
          <w:lang w:eastAsia="es-AR"/>
        </w:rPr>
        <w:t xml:space="preserve"> </w:t>
      </w:r>
      <w:proofErr w:type="spellStart"/>
      <w:r w:rsidRPr="008E7709">
        <w:rPr>
          <w:rFonts w:ascii="Open Sans" w:eastAsia="Times New Roman" w:hAnsi="Open Sans" w:cs="Times New Roman"/>
          <w:color w:val="444444"/>
          <w:sz w:val="20"/>
          <w:szCs w:val="20"/>
          <w:lang w:eastAsia="es-AR"/>
        </w:rPr>
        <w:t>Diseases</w:t>
      </w:r>
      <w:proofErr w:type="spellEnd"/>
      <w:r w:rsidRPr="008E7709">
        <w:rPr>
          <w:rFonts w:ascii="Open Sans" w:eastAsia="Times New Roman" w:hAnsi="Open Sans" w:cs="Times New Roman"/>
          <w:color w:val="444444"/>
          <w:sz w:val="20"/>
          <w:szCs w:val="20"/>
          <w:lang w:eastAsia="es-AR"/>
        </w:rPr>
        <w:t>, 2025</w:t>
      </w:r>
      <w:proofErr w:type="gramStart"/>
      <w:r w:rsidRPr="008E7709">
        <w:rPr>
          <w:rFonts w:ascii="Open Sans" w:eastAsia="Times New Roman" w:hAnsi="Open Sans" w:cs="Times New Roman"/>
          <w:color w:val="444444"/>
          <w:sz w:val="20"/>
          <w:szCs w:val="20"/>
          <w:lang w:eastAsia="es-AR"/>
        </w:rPr>
        <w:t>;25</w:t>
      </w:r>
      <w:proofErr w:type="gramEnd"/>
      <w:r w:rsidRPr="008E7709">
        <w:rPr>
          <w:rFonts w:ascii="Open Sans" w:eastAsia="Times New Roman" w:hAnsi="Open Sans" w:cs="Times New Roman"/>
          <w:color w:val="444444"/>
          <w:sz w:val="20"/>
          <w:szCs w:val="20"/>
          <w:lang w:eastAsia="es-AR"/>
        </w:rPr>
        <w:t>, 256-25</w:t>
      </w: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eastAsia="es-AR"/>
        </w:rPr>
      </w:pPr>
      <w:r w:rsidRPr="008E7709">
        <w:rPr>
          <w:rFonts w:ascii="Open Sans" w:eastAsia="Times New Roman" w:hAnsi="Open Sans" w:cs="Times New Roman"/>
          <w:color w:val="444444"/>
          <w:sz w:val="20"/>
          <w:szCs w:val="20"/>
          <w:lang w:eastAsia="es-AR"/>
        </w:rPr>
        <w:t xml:space="preserve">26. Documento de posición sobre vacunación COVID-19 en pacientes </w:t>
      </w:r>
      <w:proofErr w:type="spellStart"/>
      <w:r w:rsidRPr="008E7709">
        <w:rPr>
          <w:rFonts w:ascii="Open Sans" w:eastAsia="Times New Roman" w:hAnsi="Open Sans" w:cs="Times New Roman"/>
          <w:color w:val="444444"/>
          <w:sz w:val="20"/>
          <w:szCs w:val="20"/>
          <w:lang w:eastAsia="es-AR"/>
        </w:rPr>
        <w:t>inmunosuprimidos</w:t>
      </w:r>
      <w:proofErr w:type="spellEnd"/>
      <w:r w:rsidRPr="008E7709">
        <w:rPr>
          <w:rFonts w:ascii="Open Sans" w:eastAsia="Times New Roman" w:hAnsi="Open Sans" w:cs="Times New Roman"/>
          <w:color w:val="444444"/>
          <w:sz w:val="20"/>
          <w:szCs w:val="20"/>
          <w:lang w:eastAsia="es-AR"/>
        </w:rPr>
        <w:t xml:space="preserve"> en todas las etapas de la vida. Fundación Huésped, Sociedad Argentina de </w:t>
      </w:r>
      <w:proofErr w:type="spellStart"/>
      <w:r w:rsidRPr="008E7709">
        <w:rPr>
          <w:rFonts w:ascii="Open Sans" w:eastAsia="Times New Roman" w:hAnsi="Open Sans" w:cs="Times New Roman"/>
          <w:color w:val="444444"/>
          <w:sz w:val="20"/>
          <w:szCs w:val="20"/>
          <w:lang w:eastAsia="es-AR"/>
        </w:rPr>
        <w:t>Vacunología</w:t>
      </w:r>
      <w:proofErr w:type="spellEnd"/>
      <w:r w:rsidRPr="008E7709">
        <w:rPr>
          <w:rFonts w:ascii="Open Sans" w:eastAsia="Times New Roman" w:hAnsi="Open Sans" w:cs="Times New Roman"/>
          <w:color w:val="444444"/>
          <w:sz w:val="20"/>
          <w:szCs w:val="20"/>
          <w:lang w:eastAsia="es-AR"/>
        </w:rPr>
        <w:t xml:space="preserve"> y Epidemiología (SAVE). 20 de diciembre de 2023. https://save.org.ar/vacunacion-covid-19-en-pacientes-inmunosuprimidos/</w:t>
      </w:r>
    </w:p>
    <w:p w:rsidR="008E7709" w:rsidRDefault="008E7709" w:rsidP="008E7709">
      <w:pPr>
        <w:shd w:val="clear" w:color="auto" w:fill="FFFFFF"/>
        <w:spacing w:after="360" w:line="240" w:lineRule="auto"/>
        <w:textAlignment w:val="baseline"/>
        <w:rPr>
          <w:rFonts w:ascii="Open Sans" w:eastAsia="Times New Roman" w:hAnsi="Open Sans" w:cs="Times New Roman"/>
          <w:color w:val="444444"/>
          <w:sz w:val="20"/>
          <w:szCs w:val="20"/>
          <w:lang w:val="en-US" w:eastAsia="es-AR"/>
        </w:rPr>
      </w:pPr>
      <w:r w:rsidRPr="008E7709">
        <w:rPr>
          <w:rFonts w:ascii="Open Sans" w:eastAsia="Times New Roman" w:hAnsi="Open Sans" w:cs="Times New Roman"/>
          <w:color w:val="444444"/>
          <w:sz w:val="20"/>
          <w:szCs w:val="20"/>
          <w:lang w:eastAsia="es-AR"/>
        </w:rPr>
        <w:t xml:space="preserve">27. </w:t>
      </w:r>
      <w:proofErr w:type="spellStart"/>
      <w:r w:rsidRPr="008E7709">
        <w:rPr>
          <w:rFonts w:ascii="Open Sans" w:eastAsia="Times New Roman" w:hAnsi="Open Sans" w:cs="Times New Roman"/>
          <w:color w:val="444444"/>
          <w:sz w:val="20"/>
          <w:szCs w:val="20"/>
          <w:lang w:eastAsia="es-AR"/>
        </w:rPr>
        <w:t>Panagiotakopoulos</w:t>
      </w:r>
      <w:proofErr w:type="spellEnd"/>
      <w:r w:rsidRPr="008E7709">
        <w:rPr>
          <w:rFonts w:ascii="Open Sans" w:eastAsia="Times New Roman" w:hAnsi="Open Sans" w:cs="Times New Roman"/>
          <w:color w:val="444444"/>
          <w:sz w:val="20"/>
          <w:szCs w:val="20"/>
          <w:lang w:eastAsia="es-AR"/>
        </w:rPr>
        <w:t xml:space="preserve"> L, </w:t>
      </w:r>
      <w:proofErr w:type="spellStart"/>
      <w:r w:rsidRPr="008E7709">
        <w:rPr>
          <w:rFonts w:ascii="Open Sans" w:eastAsia="Times New Roman" w:hAnsi="Open Sans" w:cs="Times New Roman"/>
          <w:color w:val="444444"/>
          <w:sz w:val="20"/>
          <w:szCs w:val="20"/>
          <w:lang w:eastAsia="es-AR"/>
        </w:rPr>
        <w:t>Moulia</w:t>
      </w:r>
      <w:proofErr w:type="spellEnd"/>
      <w:r w:rsidRPr="008E7709">
        <w:rPr>
          <w:rFonts w:ascii="Open Sans" w:eastAsia="Times New Roman" w:hAnsi="Open Sans" w:cs="Times New Roman"/>
          <w:color w:val="444444"/>
          <w:sz w:val="20"/>
          <w:szCs w:val="20"/>
          <w:lang w:eastAsia="es-AR"/>
        </w:rPr>
        <w:t xml:space="preserve"> DL, </w:t>
      </w:r>
      <w:proofErr w:type="spellStart"/>
      <w:r w:rsidRPr="008E7709">
        <w:rPr>
          <w:rFonts w:ascii="Open Sans" w:eastAsia="Times New Roman" w:hAnsi="Open Sans" w:cs="Times New Roman"/>
          <w:color w:val="444444"/>
          <w:sz w:val="20"/>
          <w:szCs w:val="20"/>
          <w:lang w:eastAsia="es-AR"/>
        </w:rPr>
        <w:t>Godfrey</w:t>
      </w:r>
      <w:proofErr w:type="spellEnd"/>
      <w:r w:rsidRPr="008E7709">
        <w:rPr>
          <w:rFonts w:ascii="Open Sans" w:eastAsia="Times New Roman" w:hAnsi="Open Sans" w:cs="Times New Roman"/>
          <w:color w:val="444444"/>
          <w:sz w:val="20"/>
          <w:szCs w:val="20"/>
          <w:lang w:eastAsia="es-AR"/>
        </w:rPr>
        <w:t xml:space="preserve"> M, et al. </w:t>
      </w:r>
      <w:r w:rsidRPr="008E7709">
        <w:rPr>
          <w:rFonts w:ascii="Open Sans" w:eastAsia="Times New Roman" w:hAnsi="Open Sans" w:cs="Times New Roman"/>
          <w:color w:val="444444"/>
          <w:sz w:val="20"/>
          <w:szCs w:val="20"/>
          <w:lang w:val="en-US" w:eastAsia="es-AR"/>
        </w:rPr>
        <w:t xml:space="preserve">Use of COVID-19 Vaccines for Persons Aged ≥6 Months: Recommendations of the Advisory Committee on Immunization Practices — United States, 2024–2025. MMWR </w:t>
      </w:r>
      <w:proofErr w:type="spellStart"/>
      <w:r w:rsidRPr="008E7709">
        <w:rPr>
          <w:rFonts w:ascii="Open Sans" w:eastAsia="Times New Roman" w:hAnsi="Open Sans" w:cs="Times New Roman"/>
          <w:color w:val="444444"/>
          <w:sz w:val="20"/>
          <w:szCs w:val="20"/>
          <w:lang w:val="en-US" w:eastAsia="es-AR"/>
        </w:rPr>
        <w:t>Morb</w:t>
      </w:r>
      <w:proofErr w:type="spellEnd"/>
      <w:r w:rsidRPr="008E7709">
        <w:rPr>
          <w:rFonts w:ascii="Open Sans" w:eastAsia="Times New Roman" w:hAnsi="Open Sans" w:cs="Times New Roman"/>
          <w:color w:val="444444"/>
          <w:sz w:val="20"/>
          <w:szCs w:val="20"/>
          <w:lang w:val="en-US" w:eastAsia="es-AR"/>
        </w:rPr>
        <w:t xml:space="preserve"> Mortal </w:t>
      </w:r>
      <w:proofErr w:type="spellStart"/>
      <w:r w:rsidRPr="008E7709">
        <w:rPr>
          <w:rFonts w:ascii="Open Sans" w:eastAsia="Times New Roman" w:hAnsi="Open Sans" w:cs="Times New Roman"/>
          <w:color w:val="444444"/>
          <w:sz w:val="20"/>
          <w:szCs w:val="20"/>
          <w:lang w:val="en-US" w:eastAsia="es-AR"/>
        </w:rPr>
        <w:t>Wkly</w:t>
      </w:r>
      <w:proofErr w:type="spellEnd"/>
      <w:r w:rsidRPr="008E7709">
        <w:rPr>
          <w:rFonts w:ascii="Open Sans" w:eastAsia="Times New Roman" w:hAnsi="Open Sans" w:cs="Times New Roman"/>
          <w:color w:val="444444"/>
          <w:sz w:val="20"/>
          <w:szCs w:val="20"/>
          <w:lang w:val="en-US" w:eastAsia="es-AR"/>
        </w:rPr>
        <w:t xml:space="preserve"> Rep 2024</w:t>
      </w:r>
      <w:proofErr w:type="gramStart"/>
      <w:r w:rsidRPr="008E7709">
        <w:rPr>
          <w:rFonts w:ascii="Open Sans" w:eastAsia="Times New Roman" w:hAnsi="Open Sans" w:cs="Times New Roman"/>
          <w:color w:val="444444"/>
          <w:sz w:val="20"/>
          <w:szCs w:val="20"/>
          <w:lang w:val="en-US" w:eastAsia="es-AR"/>
        </w:rPr>
        <w:t>;73:819</w:t>
      </w:r>
      <w:proofErr w:type="gramEnd"/>
      <w:r w:rsidRPr="008E7709">
        <w:rPr>
          <w:rFonts w:ascii="Open Sans" w:eastAsia="Times New Roman" w:hAnsi="Open Sans" w:cs="Times New Roman"/>
          <w:color w:val="444444"/>
          <w:sz w:val="20"/>
          <w:szCs w:val="20"/>
          <w:lang w:val="en-US" w:eastAsia="es-AR"/>
        </w:rPr>
        <w:t xml:space="preserve">–824. DOI: </w:t>
      </w:r>
      <w:hyperlink r:id="rId8" w:history="1">
        <w:r w:rsidR="00D63273" w:rsidRPr="00D52209">
          <w:rPr>
            <w:rStyle w:val="Hipervnculo"/>
            <w:rFonts w:ascii="Open Sans" w:eastAsia="Times New Roman" w:hAnsi="Open Sans" w:cs="Times New Roman"/>
            <w:sz w:val="20"/>
            <w:szCs w:val="20"/>
            <w:lang w:val="en-US" w:eastAsia="es-AR"/>
          </w:rPr>
          <w:t>http://dx.doi.org/10.15585/mmwr.mm7337e2</w:t>
        </w:r>
      </w:hyperlink>
    </w:p>
    <w:p w:rsidR="00D63273" w:rsidRDefault="00D63273" w:rsidP="008E7709">
      <w:pPr>
        <w:shd w:val="clear" w:color="auto" w:fill="FFFFFF"/>
        <w:spacing w:after="360" w:line="240" w:lineRule="auto"/>
        <w:textAlignment w:val="baseline"/>
        <w:rPr>
          <w:rFonts w:ascii="Open Sans" w:eastAsia="Times New Roman" w:hAnsi="Open Sans" w:cs="Times New Roman"/>
          <w:color w:val="444444"/>
          <w:sz w:val="20"/>
          <w:szCs w:val="20"/>
          <w:lang w:val="en-US" w:eastAsia="es-AR"/>
        </w:rPr>
      </w:pPr>
    </w:p>
    <w:p w:rsidR="00D63273" w:rsidRDefault="00D63273" w:rsidP="008E7709">
      <w:pPr>
        <w:shd w:val="clear" w:color="auto" w:fill="FFFFFF"/>
        <w:spacing w:after="360" w:line="240" w:lineRule="auto"/>
        <w:textAlignment w:val="baseline"/>
        <w:rPr>
          <w:rFonts w:ascii="Open Sans" w:eastAsia="Times New Roman" w:hAnsi="Open Sans" w:cs="Times New Roman"/>
          <w:color w:val="444444"/>
          <w:sz w:val="20"/>
          <w:szCs w:val="20"/>
          <w:lang w:val="en-US" w:eastAsia="es-AR"/>
        </w:rPr>
      </w:pPr>
    </w:p>
    <w:p w:rsidR="00D63273" w:rsidRPr="008E7709" w:rsidRDefault="00D63273" w:rsidP="008E7709">
      <w:pPr>
        <w:shd w:val="clear" w:color="auto" w:fill="FFFFFF"/>
        <w:spacing w:after="360" w:line="240" w:lineRule="auto"/>
        <w:textAlignment w:val="baseline"/>
        <w:rPr>
          <w:rFonts w:ascii="Open Sans" w:eastAsia="Times New Roman" w:hAnsi="Open Sans" w:cs="Times New Roman"/>
          <w:color w:val="444444"/>
          <w:sz w:val="20"/>
          <w:szCs w:val="20"/>
          <w:lang w:val="en-US" w:eastAsia="es-AR"/>
        </w:rPr>
      </w:pPr>
    </w:p>
    <w:p w:rsidR="008E7709" w:rsidRDefault="008E7709" w:rsidP="008E7709">
      <w:pPr>
        <w:shd w:val="clear" w:color="auto" w:fill="FFFFFF"/>
        <w:spacing w:after="0" w:line="240" w:lineRule="auto"/>
        <w:textAlignment w:val="baseline"/>
        <w:rPr>
          <w:rFonts w:ascii="Open Sans" w:eastAsia="Times New Roman" w:hAnsi="Open Sans" w:cs="Times New Roman"/>
          <w:color w:val="444444"/>
          <w:sz w:val="24"/>
          <w:szCs w:val="24"/>
          <w:lang w:eastAsia="es-AR"/>
        </w:rPr>
      </w:pPr>
      <w:r w:rsidRPr="00AB0BA5">
        <w:rPr>
          <w:rFonts w:ascii="inherit" w:eastAsia="Times New Roman" w:hAnsi="inherit" w:cs="Times New Roman"/>
          <w:b/>
          <w:bCs/>
          <w:color w:val="444444"/>
          <w:sz w:val="21"/>
          <w:szCs w:val="21"/>
          <w:u w:val="single"/>
          <w:bdr w:val="none" w:sz="0" w:space="0" w:color="auto" w:frame="1"/>
          <w:lang w:eastAsia="es-AR"/>
        </w:rPr>
        <w:lastRenderedPageBreak/>
        <w:t>Anexo 1:</w:t>
      </w:r>
      <w:r w:rsidRPr="008E7709">
        <w:rPr>
          <w:rFonts w:ascii="Open Sans" w:eastAsia="Times New Roman" w:hAnsi="Open Sans" w:cs="Times New Roman"/>
          <w:color w:val="444444"/>
          <w:sz w:val="24"/>
          <w:szCs w:val="24"/>
          <w:u w:val="single"/>
          <w:lang w:eastAsia="es-AR"/>
        </w:rPr>
        <w:br/>
      </w:r>
      <w:r w:rsidRPr="008E7709">
        <w:rPr>
          <w:rFonts w:ascii="Open Sans" w:eastAsia="Times New Roman" w:hAnsi="Open Sans" w:cs="Times New Roman"/>
          <w:color w:val="444444"/>
          <w:sz w:val="24"/>
          <w:szCs w:val="24"/>
          <w:lang w:eastAsia="es-AR"/>
        </w:rPr>
        <w:t xml:space="preserve">*FACTORES DE RIESGO (Vacuna Influenza) Enfermedad renal crónica. Enfermedades pulmonares: hernia diafragmática, enfermedad pulmonar obstructiva crónica (EPOC), enfisema congénito, displasia broncopulmonar, </w:t>
      </w:r>
      <w:proofErr w:type="spellStart"/>
      <w:r w:rsidRPr="008E7709">
        <w:rPr>
          <w:rFonts w:ascii="Open Sans" w:eastAsia="Times New Roman" w:hAnsi="Open Sans" w:cs="Times New Roman"/>
          <w:color w:val="444444"/>
          <w:sz w:val="24"/>
          <w:szCs w:val="24"/>
          <w:lang w:eastAsia="es-AR"/>
        </w:rPr>
        <w:t>traqueostomía</w:t>
      </w:r>
      <w:proofErr w:type="spellEnd"/>
      <w:r w:rsidRPr="008E7709">
        <w:rPr>
          <w:rFonts w:ascii="Open Sans" w:eastAsia="Times New Roman" w:hAnsi="Open Sans" w:cs="Times New Roman"/>
          <w:color w:val="444444"/>
          <w:sz w:val="24"/>
          <w:szCs w:val="24"/>
          <w:lang w:eastAsia="es-AR"/>
        </w:rPr>
        <w:t xml:space="preserve"> crónica, bronquiectasias, fibrosis quística, Asma moderada y grave, Tuberculosis. Enfermedades hepáticas: cirrosis, esteatosis hepática asociada a disfunción metabólica, enfermedad hepática etílica, hepatitis autoinmune. Fibrosis quística. Diabetes. Enfermedades cardiovasculares: insuficiencia cardíaca, enfermedad coronaria, miocardiopatías, cardiopatía congénita, reemplazo valvular, </w:t>
      </w:r>
      <w:proofErr w:type="spellStart"/>
      <w:r w:rsidRPr="008E7709">
        <w:rPr>
          <w:rFonts w:ascii="Open Sans" w:eastAsia="Times New Roman" w:hAnsi="Open Sans" w:cs="Times New Roman"/>
          <w:color w:val="444444"/>
          <w:sz w:val="24"/>
          <w:szCs w:val="24"/>
          <w:lang w:eastAsia="es-AR"/>
        </w:rPr>
        <w:t>valvulopatías</w:t>
      </w:r>
      <w:proofErr w:type="spellEnd"/>
      <w:r w:rsidRPr="008E7709">
        <w:rPr>
          <w:rFonts w:ascii="Open Sans" w:eastAsia="Times New Roman" w:hAnsi="Open Sans" w:cs="Times New Roman"/>
          <w:color w:val="444444"/>
          <w:sz w:val="24"/>
          <w:szCs w:val="24"/>
          <w:lang w:eastAsia="es-AR"/>
        </w:rPr>
        <w:t xml:space="preserve">. Hemofilia. Enfermedades neurológicas: parálisis cerebral, demencia, epilepsia, enfermedad de Parkinson, lesiones de la médula espinal. Obesidad mórbida: índice de masa corporal mayor a 40 Kg/m2. Tratamiento crónico con ácido acetilsalicílico en menores de 18 años. Convivientes de personas con enfermedad </w:t>
      </w:r>
      <w:proofErr w:type="spellStart"/>
      <w:r w:rsidRPr="008E7709">
        <w:rPr>
          <w:rFonts w:ascii="Open Sans" w:eastAsia="Times New Roman" w:hAnsi="Open Sans" w:cs="Times New Roman"/>
          <w:color w:val="444444"/>
          <w:sz w:val="24"/>
          <w:szCs w:val="24"/>
          <w:lang w:eastAsia="es-AR"/>
        </w:rPr>
        <w:t>oncohematológica</w:t>
      </w:r>
      <w:proofErr w:type="spellEnd"/>
      <w:r w:rsidRPr="008E7709">
        <w:rPr>
          <w:rFonts w:ascii="Open Sans" w:eastAsia="Times New Roman" w:hAnsi="Open Sans" w:cs="Times New Roman"/>
          <w:color w:val="444444"/>
          <w:sz w:val="24"/>
          <w:szCs w:val="24"/>
          <w:lang w:eastAsia="es-AR"/>
        </w:rPr>
        <w:t>. Convivientes de personas recién nacidas prematuras menores de 1.500 g.</w:t>
      </w:r>
    </w:p>
    <w:p w:rsidR="00731FDA" w:rsidRPr="008E7709" w:rsidRDefault="00731FDA" w:rsidP="008E7709">
      <w:pPr>
        <w:shd w:val="clear" w:color="auto" w:fill="FFFFFF"/>
        <w:spacing w:after="0" w:line="240" w:lineRule="auto"/>
        <w:textAlignment w:val="baseline"/>
        <w:rPr>
          <w:rFonts w:ascii="Open Sans" w:eastAsia="Times New Roman" w:hAnsi="Open Sans" w:cs="Times New Roman"/>
          <w:color w:val="444444"/>
          <w:sz w:val="24"/>
          <w:szCs w:val="24"/>
          <w:lang w:eastAsia="es-AR"/>
        </w:rPr>
      </w:pPr>
    </w:p>
    <w:p w:rsidR="008E7709" w:rsidRPr="008E7709" w:rsidRDefault="008E7709" w:rsidP="008E7709">
      <w:pPr>
        <w:shd w:val="clear" w:color="auto" w:fill="FFFFFF"/>
        <w:spacing w:after="360" w:line="240" w:lineRule="auto"/>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 xml:space="preserve">**INMUNOCOMPROMISO Personas bajo tratamiento oncológico para tumores sólidos y </w:t>
      </w:r>
      <w:proofErr w:type="spellStart"/>
      <w:r w:rsidRPr="008E7709">
        <w:rPr>
          <w:rFonts w:ascii="Open Sans" w:eastAsia="Times New Roman" w:hAnsi="Open Sans" w:cs="Times New Roman"/>
          <w:color w:val="444444"/>
          <w:sz w:val="24"/>
          <w:szCs w:val="24"/>
          <w:lang w:eastAsia="es-AR"/>
        </w:rPr>
        <w:t>oncohematológicos</w:t>
      </w:r>
      <w:proofErr w:type="spellEnd"/>
      <w:r w:rsidRPr="008E7709">
        <w:rPr>
          <w:rFonts w:ascii="Open Sans" w:eastAsia="Times New Roman" w:hAnsi="Open Sans" w:cs="Times New Roman"/>
          <w:color w:val="444444"/>
          <w:sz w:val="24"/>
          <w:szCs w:val="24"/>
          <w:lang w:eastAsia="es-AR"/>
        </w:rPr>
        <w:t xml:space="preserve">. Personas receptoras de trasplante de órgano sólido en tratamiento inmunosupresor. Personas receptoras de trasplante de células progenitoras hematopoyéticas (TCMH) en los últimos 2 años o en tratamiento Inmunosupresor. VIH independientemente del recuento de CD4 y niveles de carga viral. Personas bajo tratamiento activo con </w:t>
      </w:r>
      <w:proofErr w:type="spellStart"/>
      <w:r w:rsidRPr="008E7709">
        <w:rPr>
          <w:rFonts w:ascii="Open Sans" w:eastAsia="Times New Roman" w:hAnsi="Open Sans" w:cs="Times New Roman"/>
          <w:color w:val="444444"/>
          <w:sz w:val="24"/>
          <w:szCs w:val="24"/>
          <w:lang w:eastAsia="es-AR"/>
        </w:rPr>
        <w:t>corticosteroides</w:t>
      </w:r>
      <w:proofErr w:type="spellEnd"/>
      <w:r w:rsidRPr="008E7709">
        <w:rPr>
          <w:rFonts w:ascii="Open Sans" w:eastAsia="Times New Roman" w:hAnsi="Open Sans" w:cs="Times New Roman"/>
          <w:color w:val="444444"/>
          <w:sz w:val="24"/>
          <w:szCs w:val="24"/>
          <w:lang w:eastAsia="es-AR"/>
        </w:rPr>
        <w:t xml:space="preserve"> (mayor a 2 mg/kg/día de </w:t>
      </w:r>
      <w:proofErr w:type="spellStart"/>
      <w:r w:rsidRPr="008E7709">
        <w:rPr>
          <w:rFonts w:ascii="Open Sans" w:eastAsia="Times New Roman" w:hAnsi="Open Sans" w:cs="Times New Roman"/>
          <w:color w:val="444444"/>
          <w:sz w:val="24"/>
          <w:szCs w:val="24"/>
          <w:lang w:eastAsia="es-AR"/>
        </w:rPr>
        <w:t>metilprednisona</w:t>
      </w:r>
      <w:proofErr w:type="spellEnd"/>
      <w:r w:rsidRPr="008E7709">
        <w:rPr>
          <w:rFonts w:ascii="Open Sans" w:eastAsia="Times New Roman" w:hAnsi="Open Sans" w:cs="Times New Roman"/>
          <w:color w:val="444444"/>
          <w:sz w:val="24"/>
          <w:szCs w:val="24"/>
          <w:lang w:eastAsia="es-AR"/>
        </w:rPr>
        <w:t xml:space="preserve"> o más de 20 mg/día o su equivalente por más de 14 días), otros inmunosupresores, </w:t>
      </w:r>
      <w:proofErr w:type="spellStart"/>
      <w:r w:rsidRPr="008E7709">
        <w:rPr>
          <w:rFonts w:ascii="Open Sans" w:eastAsia="Times New Roman" w:hAnsi="Open Sans" w:cs="Times New Roman"/>
          <w:color w:val="444444"/>
          <w:sz w:val="24"/>
          <w:szCs w:val="24"/>
          <w:lang w:eastAsia="es-AR"/>
        </w:rPr>
        <w:t>inmunomoduladores</w:t>
      </w:r>
      <w:proofErr w:type="spellEnd"/>
      <w:r w:rsidRPr="008E7709">
        <w:rPr>
          <w:rFonts w:ascii="Open Sans" w:eastAsia="Times New Roman" w:hAnsi="Open Sans" w:cs="Times New Roman"/>
          <w:color w:val="444444"/>
          <w:sz w:val="24"/>
          <w:szCs w:val="24"/>
          <w:lang w:eastAsia="es-AR"/>
        </w:rPr>
        <w:t xml:space="preserve"> o biológicos que causan deterioro de la respuesta inmunitaria. Personas con enfermedades autoinmunes. Personas con enfermedad renal crónica bajo tratamiento de hemodiálisis. </w:t>
      </w:r>
      <w:proofErr w:type="spellStart"/>
      <w:r w:rsidRPr="008E7709">
        <w:rPr>
          <w:rFonts w:ascii="Open Sans" w:eastAsia="Times New Roman" w:hAnsi="Open Sans" w:cs="Times New Roman"/>
          <w:color w:val="444444"/>
          <w:sz w:val="24"/>
          <w:szCs w:val="24"/>
          <w:lang w:eastAsia="es-AR"/>
        </w:rPr>
        <w:t>Asplenia</w:t>
      </w:r>
      <w:proofErr w:type="spellEnd"/>
      <w:r w:rsidRPr="008E7709">
        <w:rPr>
          <w:rFonts w:ascii="Open Sans" w:eastAsia="Times New Roman" w:hAnsi="Open Sans" w:cs="Times New Roman"/>
          <w:color w:val="444444"/>
          <w:sz w:val="24"/>
          <w:szCs w:val="24"/>
          <w:lang w:eastAsia="es-AR"/>
        </w:rPr>
        <w:t xml:space="preserve"> funcional o anatómica (incluida anemia </w:t>
      </w:r>
      <w:proofErr w:type="spellStart"/>
      <w:r w:rsidRPr="008E7709">
        <w:rPr>
          <w:rFonts w:ascii="Open Sans" w:eastAsia="Times New Roman" w:hAnsi="Open Sans" w:cs="Times New Roman"/>
          <w:color w:val="444444"/>
          <w:sz w:val="24"/>
          <w:szCs w:val="24"/>
          <w:lang w:eastAsia="es-AR"/>
        </w:rPr>
        <w:t>drepanocítica</w:t>
      </w:r>
      <w:proofErr w:type="spellEnd"/>
      <w:r w:rsidRPr="008E7709">
        <w:rPr>
          <w:rFonts w:ascii="Open Sans" w:eastAsia="Times New Roman" w:hAnsi="Open Sans" w:cs="Times New Roman"/>
          <w:color w:val="444444"/>
          <w:sz w:val="24"/>
          <w:szCs w:val="24"/>
          <w:lang w:eastAsia="es-AR"/>
        </w:rPr>
        <w:t>). Desnutrición grave. Retraso madurativo grave en menores de 18 años. Síndromes genéticos, enfermedades neuromusculares con compromiso respiratorio y malformaciones congénitas graves.</w:t>
      </w:r>
    </w:p>
    <w:p w:rsidR="008E7709" w:rsidRPr="008E7709" w:rsidRDefault="008E7709" w:rsidP="008E7709">
      <w:pPr>
        <w:shd w:val="clear" w:color="auto" w:fill="FFFFFF"/>
        <w:spacing w:after="0" w:line="240" w:lineRule="auto"/>
        <w:textAlignment w:val="baseline"/>
        <w:rPr>
          <w:rFonts w:ascii="Open Sans" w:eastAsia="Times New Roman" w:hAnsi="Open Sans" w:cs="Times New Roman"/>
          <w:color w:val="444444"/>
          <w:sz w:val="24"/>
          <w:szCs w:val="24"/>
          <w:lang w:eastAsia="es-AR"/>
        </w:rPr>
      </w:pPr>
      <w:r w:rsidRPr="008E7709">
        <w:rPr>
          <w:rFonts w:ascii="Open Sans" w:eastAsia="Times New Roman" w:hAnsi="Open Sans" w:cs="Times New Roman"/>
          <w:color w:val="444444"/>
          <w:sz w:val="24"/>
          <w:szCs w:val="24"/>
          <w:lang w:eastAsia="es-AR"/>
        </w:rPr>
        <w:t>*** FACTORES DE RIESGO (Vacuna SARS-Cov-2 /COVID-19)</w:t>
      </w:r>
      <w:r w:rsidRPr="008E7709">
        <w:rPr>
          <w:rFonts w:ascii="Open Sans" w:eastAsia="Times New Roman" w:hAnsi="Open Sans" w:cs="Times New Roman"/>
          <w:color w:val="444444"/>
          <w:sz w:val="24"/>
          <w:szCs w:val="24"/>
          <w:lang w:eastAsia="es-AR"/>
        </w:rPr>
        <w:br/>
        <w:t>Enfermedad cerebrovascular</w:t>
      </w:r>
      <w:r w:rsidRPr="008E7709">
        <w:rPr>
          <w:rFonts w:ascii="Open Sans" w:eastAsia="Times New Roman" w:hAnsi="Open Sans" w:cs="Times New Roman"/>
          <w:color w:val="444444"/>
          <w:sz w:val="24"/>
          <w:szCs w:val="24"/>
          <w:lang w:eastAsia="es-AR"/>
        </w:rPr>
        <w:br/>
        <w:t>Enfermedad renal crónica</w:t>
      </w:r>
      <w:r w:rsidRPr="008E7709">
        <w:rPr>
          <w:rFonts w:ascii="Open Sans" w:eastAsia="Times New Roman" w:hAnsi="Open Sans" w:cs="Times New Roman"/>
          <w:color w:val="444444"/>
          <w:sz w:val="24"/>
          <w:szCs w:val="24"/>
          <w:lang w:eastAsia="es-AR"/>
        </w:rPr>
        <w:br/>
        <w:t>Enfermedad pulmonar crónica (enfermedad pulmonar intersticial, embolia pulmonar, hipertensión pulmonar, bronquiectasia, EPOC)</w:t>
      </w:r>
      <w:r w:rsidRPr="008E7709">
        <w:rPr>
          <w:rFonts w:ascii="Open Sans" w:eastAsia="Times New Roman" w:hAnsi="Open Sans" w:cs="Times New Roman"/>
          <w:color w:val="444444"/>
          <w:sz w:val="24"/>
          <w:szCs w:val="24"/>
          <w:lang w:eastAsia="es-AR"/>
        </w:rPr>
        <w:br/>
        <w:t>Enfermedad hepática crónica (cirrosis, esteatosis hepática asociada a disfunción metabólica, enfermedad hepática etílica, hepatitis autoinmune)</w:t>
      </w:r>
      <w:r w:rsidRPr="008E7709">
        <w:rPr>
          <w:rFonts w:ascii="Open Sans" w:eastAsia="Times New Roman" w:hAnsi="Open Sans" w:cs="Times New Roman"/>
          <w:color w:val="444444"/>
          <w:sz w:val="24"/>
          <w:szCs w:val="24"/>
          <w:lang w:eastAsia="es-AR"/>
        </w:rPr>
        <w:br/>
        <w:t>Fibrosis quística</w:t>
      </w:r>
      <w:r w:rsidRPr="008E7709">
        <w:rPr>
          <w:rFonts w:ascii="Open Sans" w:eastAsia="Times New Roman" w:hAnsi="Open Sans" w:cs="Times New Roman"/>
          <w:color w:val="444444"/>
          <w:sz w:val="24"/>
          <w:szCs w:val="24"/>
          <w:lang w:eastAsia="es-AR"/>
        </w:rPr>
        <w:br/>
        <w:t>Diabetes mellitus tipo l y tipo 2</w:t>
      </w:r>
      <w:r w:rsidRPr="008E7709">
        <w:rPr>
          <w:rFonts w:ascii="Open Sans" w:eastAsia="Times New Roman" w:hAnsi="Open Sans" w:cs="Times New Roman"/>
          <w:color w:val="444444"/>
          <w:sz w:val="24"/>
          <w:szCs w:val="24"/>
          <w:lang w:eastAsia="es-AR"/>
        </w:rPr>
        <w:br/>
        <w:t xml:space="preserve">Enfermedad cardiovascular (p. </w:t>
      </w:r>
      <w:proofErr w:type="spellStart"/>
      <w:r w:rsidRPr="008E7709">
        <w:rPr>
          <w:rFonts w:ascii="Open Sans" w:eastAsia="Times New Roman" w:hAnsi="Open Sans" w:cs="Times New Roman"/>
          <w:color w:val="444444"/>
          <w:sz w:val="24"/>
          <w:szCs w:val="24"/>
          <w:lang w:eastAsia="es-AR"/>
        </w:rPr>
        <w:t>ej</w:t>
      </w:r>
      <w:proofErr w:type="spellEnd"/>
      <w:r w:rsidRPr="008E7709">
        <w:rPr>
          <w:rFonts w:ascii="Open Sans" w:eastAsia="Times New Roman" w:hAnsi="Open Sans" w:cs="Times New Roman"/>
          <w:color w:val="444444"/>
          <w:sz w:val="24"/>
          <w:szCs w:val="24"/>
          <w:lang w:eastAsia="es-AR"/>
        </w:rPr>
        <w:t>, insuficiencia cardíaca, enfermedad coronaria, miocardiopatías, cardiopatía congénita)</w:t>
      </w:r>
      <w:r w:rsidRPr="008E7709">
        <w:rPr>
          <w:rFonts w:ascii="Open Sans" w:eastAsia="Times New Roman" w:hAnsi="Open Sans" w:cs="Times New Roman"/>
          <w:color w:val="444444"/>
          <w:sz w:val="24"/>
          <w:szCs w:val="24"/>
          <w:lang w:eastAsia="es-AR"/>
        </w:rPr>
        <w:br/>
        <w:t>Hemofilia</w:t>
      </w:r>
      <w:r w:rsidRPr="008E7709">
        <w:rPr>
          <w:rFonts w:ascii="Open Sans" w:eastAsia="Times New Roman" w:hAnsi="Open Sans" w:cs="Times New Roman"/>
          <w:color w:val="444444"/>
          <w:sz w:val="24"/>
          <w:szCs w:val="24"/>
          <w:lang w:eastAsia="es-AR"/>
        </w:rPr>
        <w:br/>
        <w:t>Enfermedad neurológica (parálisis cerebral, demencia, epilepsia, enfermedad de Parkinson, lesiones de la médula espinal)</w:t>
      </w:r>
      <w:r w:rsidRPr="008E7709">
        <w:rPr>
          <w:rFonts w:ascii="Open Sans" w:eastAsia="Times New Roman" w:hAnsi="Open Sans" w:cs="Times New Roman"/>
          <w:color w:val="444444"/>
          <w:sz w:val="24"/>
          <w:szCs w:val="24"/>
          <w:lang w:eastAsia="es-AR"/>
        </w:rPr>
        <w:br/>
        <w:t>Obesidad IMC ≥30 kg/m 2</w:t>
      </w:r>
      <w:r w:rsidRPr="008E7709">
        <w:rPr>
          <w:rFonts w:ascii="Open Sans" w:eastAsia="Times New Roman" w:hAnsi="Open Sans" w:cs="Times New Roman"/>
          <w:color w:val="444444"/>
          <w:sz w:val="24"/>
          <w:szCs w:val="24"/>
          <w:lang w:eastAsia="es-AR"/>
        </w:rPr>
        <w:br/>
        <w:t xml:space="preserve">Anemia </w:t>
      </w:r>
      <w:proofErr w:type="spellStart"/>
      <w:r w:rsidRPr="008E7709">
        <w:rPr>
          <w:rFonts w:ascii="Open Sans" w:eastAsia="Times New Roman" w:hAnsi="Open Sans" w:cs="Times New Roman"/>
          <w:color w:val="444444"/>
          <w:sz w:val="24"/>
          <w:szCs w:val="24"/>
          <w:lang w:eastAsia="es-AR"/>
        </w:rPr>
        <w:t>drepanocítica</w:t>
      </w:r>
      <w:proofErr w:type="spellEnd"/>
      <w:r w:rsidRPr="008E7709">
        <w:rPr>
          <w:rFonts w:ascii="Open Sans" w:eastAsia="Times New Roman" w:hAnsi="Open Sans" w:cs="Times New Roman"/>
          <w:color w:val="444444"/>
          <w:sz w:val="24"/>
          <w:szCs w:val="24"/>
          <w:lang w:eastAsia="es-AR"/>
        </w:rPr>
        <w:br/>
        <w:t>Tuberculosis</w:t>
      </w:r>
    </w:p>
    <w:p w:rsidR="00D745E9" w:rsidRDefault="00D745E9">
      <w:bookmarkStart w:id="0" w:name="_GoBack"/>
      <w:bookmarkEnd w:id="0"/>
    </w:p>
    <w:sectPr w:rsidR="00D745E9" w:rsidSect="008E7709">
      <w:pgSz w:w="11906" w:h="16838"/>
      <w:pgMar w:top="1417" w:right="1416"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B952EA"/>
    <w:multiLevelType w:val="multilevel"/>
    <w:tmpl w:val="30962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5420543"/>
    <w:multiLevelType w:val="multilevel"/>
    <w:tmpl w:val="34C23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96E3A0B"/>
    <w:multiLevelType w:val="multilevel"/>
    <w:tmpl w:val="D10C5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F047866"/>
    <w:multiLevelType w:val="multilevel"/>
    <w:tmpl w:val="43822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709"/>
    <w:rsid w:val="00731FDA"/>
    <w:rsid w:val="008E7709"/>
    <w:rsid w:val="00AB0BA5"/>
    <w:rsid w:val="00D63273"/>
    <w:rsid w:val="00D745E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A8504A-B737-41BB-BB31-7FE395B4B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8E770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E7709"/>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Textoennegrita">
    <w:name w:val="Strong"/>
    <w:basedOn w:val="Fuentedeprrafopredeter"/>
    <w:uiPriority w:val="22"/>
    <w:qFormat/>
    <w:rsid w:val="008E7709"/>
    <w:rPr>
      <w:b/>
      <w:bCs/>
    </w:rPr>
  </w:style>
  <w:style w:type="character" w:styleId="nfasis">
    <w:name w:val="Emphasis"/>
    <w:basedOn w:val="Fuentedeprrafopredeter"/>
    <w:uiPriority w:val="20"/>
    <w:qFormat/>
    <w:rsid w:val="008E7709"/>
    <w:rPr>
      <w:i/>
      <w:iCs/>
    </w:rPr>
  </w:style>
  <w:style w:type="character" w:customStyle="1" w:styleId="Ttulo1Car">
    <w:name w:val="Título 1 Car"/>
    <w:basedOn w:val="Fuentedeprrafopredeter"/>
    <w:link w:val="Ttulo1"/>
    <w:uiPriority w:val="9"/>
    <w:rsid w:val="008E7709"/>
    <w:rPr>
      <w:rFonts w:ascii="Times New Roman" w:eastAsia="Times New Roman" w:hAnsi="Times New Roman" w:cs="Times New Roman"/>
      <w:b/>
      <w:bCs/>
      <w:kern w:val="36"/>
      <w:sz w:val="48"/>
      <w:szCs w:val="48"/>
      <w:lang w:eastAsia="es-AR"/>
    </w:rPr>
  </w:style>
  <w:style w:type="character" w:customStyle="1" w:styleId="cm-post-date">
    <w:name w:val="cm-post-date"/>
    <w:basedOn w:val="Fuentedeprrafopredeter"/>
    <w:rsid w:val="008E7709"/>
  </w:style>
  <w:style w:type="character" w:styleId="Hipervnculo">
    <w:name w:val="Hyperlink"/>
    <w:basedOn w:val="Fuentedeprrafopredeter"/>
    <w:uiPriority w:val="99"/>
    <w:unhideWhenUsed/>
    <w:rsid w:val="008E7709"/>
    <w:rPr>
      <w:color w:val="0000FF"/>
      <w:u w:val="single"/>
    </w:rPr>
  </w:style>
  <w:style w:type="character" w:customStyle="1" w:styleId="cm-author">
    <w:name w:val="cm-author"/>
    <w:basedOn w:val="Fuentedeprrafopredeter"/>
    <w:rsid w:val="008E77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63668">
      <w:bodyDiv w:val="1"/>
      <w:marLeft w:val="0"/>
      <w:marRight w:val="0"/>
      <w:marTop w:val="0"/>
      <w:marBottom w:val="0"/>
      <w:divBdr>
        <w:top w:val="none" w:sz="0" w:space="0" w:color="auto"/>
        <w:left w:val="none" w:sz="0" w:space="0" w:color="auto"/>
        <w:bottom w:val="none" w:sz="0" w:space="0" w:color="auto"/>
        <w:right w:val="none" w:sz="0" w:space="0" w:color="auto"/>
      </w:divBdr>
      <w:divsChild>
        <w:div w:id="1033382291">
          <w:marLeft w:val="0"/>
          <w:marRight w:val="0"/>
          <w:marTop w:val="0"/>
          <w:marBottom w:val="180"/>
          <w:divBdr>
            <w:top w:val="none" w:sz="0" w:space="0" w:color="auto"/>
            <w:left w:val="none" w:sz="0" w:space="0" w:color="auto"/>
            <w:bottom w:val="none" w:sz="0" w:space="0" w:color="auto"/>
            <w:right w:val="none" w:sz="0" w:space="0" w:color="auto"/>
          </w:divBdr>
        </w:div>
      </w:divsChild>
    </w:div>
    <w:div w:id="204644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5585/mmwr.mm7337e2"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ccordoba.com/noticias/vacunacion-en-adultos-contra-infecciones-respiratorias-virales/" TargetMode="External"/><Relationship Id="rId5" Type="http://schemas.openxmlformats.org/officeDocument/2006/relationships/hyperlink" Target="https://siccordoba.com/author/siccordoba202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9</Pages>
  <Words>4153</Words>
  <Characters>22844</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2026-08-11T21:17:00Z</dcterms:created>
  <dcterms:modified xsi:type="dcterms:W3CDTF">2026-08-11T21:56:00Z</dcterms:modified>
</cp:coreProperties>
</file>